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SHOO</w:t>
      </w:r>
      <w:r>
        <w:rPr>
          <w:rFonts w:ascii="Calibri" w:hAnsi="Calibri"/>
          <w:b/>
          <w:color w:val="1A2010"/>
          <w:sz w:val="40"/>
        </w:rPr>
        <w:t xml:space="preserve">  Steven Madden, Ltd.</w:t>
      </w:r>
    </w:p>
    <w:p>
      <w:pPr>
        <w:spacing w:after="120"/>
      </w:pPr>
      <w:r>
        <w:rPr>
          <w:rFonts w:ascii="Calibri" w:hAnsi="Calibri"/>
          <w:b/>
          <w:color w:val="6E8450"/>
          <w:sz w:val="18"/>
        </w:rPr>
        <w:t>DIVIDEND SLEEVE · 2026-04-26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NASDAQ · United States</w:t>
      </w:r>
    </w:p>
    <w:p>
      <w:pPr>
        <w:spacing w:after="80"/>
      </w:pPr>
      <w:r>
        <w:rPr>
          <w:rFonts w:ascii="Calibri" w:hAnsi="Calibri"/>
          <w:b w:val="0"/>
          <w:color w:val="3A4A28"/>
          <w:sz w:val="20"/>
        </w:rPr>
        <w:t>Steven Madden designs, sources, and markets fashion-forward branded and private label footwear, accessories, and apparel. The company operates through Wholesale Footwear, Wholesale Accessories/Apparel, Direct-to-Consumer, and Licensing segments under brands including Steve Madden, Kurt Geiger, Dolce Vita, Betsey Johnson, and Anne Klein.</w:t>
      </w:r>
    </w:p>
    <w:p>
      <w:r>
        <w:rPr>
          <w:rFonts w:ascii="Calibri" w:hAnsi="Calibri"/>
          <w:b/>
          <w:color w:val="6E8450"/>
          <w:sz w:val="18"/>
        </w:rPr>
        <w:t>4,200 Employees · https://www.stevemadden.com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2024 acquisition of Kurt Geiger for approximately $500M significantly expanded the company's international presence and DTC channel, driving Q4 2025 DTC revenue up 79.9% [1]. The Dolce Vita and Betsey Johnson brands have been successfully scaled as growth engines beyond the core Steve Madden label. AI Deployment (0/2): No meaningful AI products shipping to customers; the partnership with Fast Simon for AI-driven shopping optimization is early-stage and incremental with no quantified revenue impact [2]. Market Share (2/2): Steve Madden is a category leader in affordable fashion footwear with strong brand recognition among 18-35 demographics; the Kurt Geiger acquisition added dominant UK market position in accessible luxury footwear [1]. Pipeline (1/2): Management guided 9-11% revenue growth for 2026 with expansion of company-operated retail stores and international distribution, though specific new product category launches are limited [1]. R&amp;D Intensity (0/1): As a fashion company, R&amp;D spend is minimal; innovation is expressed through design and brand acquisition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Steve Madden's purpose centers on making trend-driven fashion accessible to a broad consumer base — clear but not distinctive, interchangeable with many fashion peers. Community Impact (1/2): The company is a founding member of the Sustainable Apparel Coalition and has implemented some supply chain responsibility programs, though specific dollar amounts for charitable giving are not prominently disclosed [3]. Employee Retention (1/2): Glassdoor rating of 3.4/5.0 across 1,447 reviews is average for retail; some reviews cite concerns about layoff handling and leadership culture, but the company maintains adequate stability for the industry [2]. Insider Buying (1/2): Insider activity is mixed — CEO Rosenfeld received stock grants in March 2026, but multiple executives (President Varela, General Counsel Keith, Director Reed) executed sales totaling ~$985K in late 2025 and early 2026, indicating net insider selling on balance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Steve Madden's financial infrastructure shows strength in balance sheet management and revenue growth but significant weakness in current profitability. D/E of 53.8% is conservative for the industry [5]. Forward P/E of 14.7x is attractively valued, suggesting the market expects earnings normalization from the current depressed trailing P/E of 61.2x caused by Kurt Geiger acquisition costs and tariff headwinds [1]. Revenue grew 11.0% YoY to $2.53B in FY2025 with 5yr CAGR of ~14.5%, demonstrating consistent top-line momentum [1]. However, trailing profit margin of 1.76% and ROE of 5.5% are severely depressed by acquisition integration costs and operating deleverage, dragging the score. Payout ratio of 133% on depressed earnings is unsustainable at current levels but should normalize as earnings recover to the $2.62 forward EPS estimate [5]. Dividend has been paid for 10+ consecutive years with yield of 2.2%, though no increase since 2022. Liquidity easily cleared at $58M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Steve Madden under CEO Rosenfeld plays a mixed game — the Kurt Geiger acquisition shows willingness to invest in long-term brand portfolio expansion, but the company's focus on quarterly trend cycles and fashion seasonality inherently creates finite-game pressure. Leadership has maintained strategic consistency since 2008 but the culture receives mediocre employee ratings.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Steve Madden's cause — making fashion-forward footwear accessible — is functional but shallow (1/3 points). The purpose is clear and has been consistent since the company's 1990 founding, but it lacks the transformative quality Sinek demands. Making trendy shoes affordable is a business model, not a vision of a better future. The cause hasn't survived a true existential test beyond normal business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(1/2 points). Glassdoor's 3.4/5.0 rating with 3.3 for culture/values is average for retail [2]. Some reviews cite concerns about layoff dignity and leadership insecurity, which suggests political dynamics at the management level. CEO Rosenfeld's 18-year tenure provides leadership continuity, and the executive team has been relatively stable, but there is no evidence of exceptional employee empowerment or psychological safety beyond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Management has acknowledged the competitive strengths of peers like Nike and LVMH in earnings commentary, framing the Kurt Geiger acquisition as a way to compete in the accessible luxury segment where rivals have advantages. The multi-brand strategy itself reflects a learning-oriented approach — acquiring brands that complement weaknesses rather than trying to dominate every segment with the Steve Madden label alone.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The company has evolved from a single-brand U.S. wholesale footwear company to a multi-brand, international, omni-channel platform through acquisitions (Kurt Geiger, Dolce Vita, Betsey Johnson) [1]. The DTC channel expansion from minimal to 79.9% growth in Q4 2025 shows adaptation to retail industry shifts. These are meaningful but incremental pivots — the company has not fundamentally reinvented its business model the way Sinek's canonical examples require.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Rosenfeld demonstrated meaningful courage with the ~$500M Kurt Geiger acquisition in 2024, a transformative bet that temporarily depressed earnings and drew analyst skepticism (1/2 points) [1]. The decision to absorb tariff impacts rather than immediately passing all costs to consumers shows some prioritization of long-term brand equity over short-term margins. However, the withdrawal of 2026 earnings guidance citing tariff uncertainty suggests a cautious leadership style rather than a pattern of bold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Steven Madden is a well-managed mid-cap footwear and accessories company with a diversified multi-brand portfolio generating $2.53B in FY2025 revenue (up 11% YoY) [1]. The transformative Kurt Geiger acquisition has expanded the company's international footprint and DTC capabilities, with Q4 2025 DTC revenue surging 79.9%. At 14.7x forward P/E, the stock is attractively valued relative to the 9-11% revenue growth guidance for 2026, and the forward EPS estimate of $2.62 implies significant earnings recovery from the current depressed $0.63 trailing EPS [5]. The conservative balance sheet (D/E 53.8%) provides financial flexibility, and the 2.2% dividend yield offers income while investors wait for earnings normalization. The multi-brand strategy (Steve Madden, Kurt Geiger, Dolce Vita, Betsey Johnson, Anne Klein) reduces single-brand concentration risk.</w:t>
      </w:r>
    </w:p>
    <w:p>
      <w:pPr>
        <w:spacing w:after="120"/>
      </w:pPr>
      <w:r>
        <w:rPr>
          <w:rFonts w:ascii="Calibri" w:hAnsi="Calibri"/>
          <w:b w:val="0"/>
          <w:color w:val="3A4A28"/>
          <w:sz w:val="20"/>
        </w:rPr>
        <w:t>The bear case centers on near-term earnings pressure and macro headwinds. Trailing profit margin of 1.76% and ROE of 5.5% reflect Kurt Geiger integration costs and operating deleverage that may take 2-3 quarters to fully normalize [1]. U.S. tariff uncertainty has prompted management to withdraw 2026 earnings guidance entirely, signaling potential margin compression if tariffs on footwear imports from China and Vietnam escalate further. The fashion footwear industry faces structural challenges from casualization trends, DTC competition from digital-native brands, and potential AI-driven disruption in trend forecasting. CEO-to-median-worker pay ratio of 274:1 and Glassdoor culture ratings of 3.4/5.0 suggest employee engagement may lag peers [2][3]. The dividend has been flat at $0.84/year since 2022 with a 133% payout ratio on depressed earnings, creating sustainability risk if earnings recovery is delayed.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Kurt Geiger integration completion driving margin normalization toward historical 8-10% operating margins, with forward EPS of $2.62 implying significant earnings recovery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through Kurt Geiger's European distribution network and new company-operated retail store openings supporting 9-11% revenue growth guidance [1]</w:t>
      </w:r>
    </w:p>
    <w:p>
      <w:pPr>
        <w:spacing w:before="40" w:after="40"/>
        <w:ind w:left="283"/>
      </w:pPr>
      <w:r>
        <w:rPr>
          <w:rFonts w:ascii="Calibri" w:hAnsi="Calibri"/>
          <w:b/>
          <w:color w:val="4A6B25"/>
          <w:sz w:val="20"/>
        </w:rPr>
        <w:t xml:space="preserve">3. </w:t>
      </w:r>
      <w:r>
        <w:rPr>
          <w:rFonts w:ascii="Calibri" w:hAnsi="Calibri"/>
          <w:b w:val="0"/>
          <w:color w:val="3A4A28"/>
          <w:sz w:val="20"/>
        </w:rPr>
        <w:t>DTC channel momentum (79.9% Q4 growth) improving revenue mix toward higher-margin direct sales and reducing wholesale channel dependence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tariff escalation on footwear imports from China and Vietnam could compress margins further — management withdrew 2026 earnings guidance citing this uncertainty [1]</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delay — if Kurt Geiger integration costs persist or macro weakness dampens consumer spending, the path from $0.63 trailing EPS to $2.62 forward EPS may take longer than expected [5]</w:t>
      </w:r>
    </w:p>
    <w:p>
      <w:pPr>
        <w:spacing w:before="40" w:after="40"/>
        <w:ind w:left="283"/>
      </w:pPr>
      <w:r>
        <w:rPr>
          <w:rFonts w:ascii="Calibri" w:hAnsi="Calibri"/>
          <w:b/>
          <w:color w:val="4A6B25"/>
          <w:sz w:val="20"/>
        </w:rPr>
        <w:t xml:space="preserve">3. </w:t>
      </w:r>
      <w:r>
        <w:rPr>
          <w:rFonts w:ascii="Calibri" w:hAnsi="Calibri"/>
          <w:b w:val="0"/>
          <w:color w:val="3A4A28"/>
          <w:sz w:val="20"/>
        </w:rPr>
        <w:t>Fashion trend risk and brand relevance — the Steve Madden brand targets trend-sensitive consumers who can shift quickly to competitors, and the casualization trend reduces demand for the company's core dress and fashion footwear categories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Steve Madden's core business — designing, sourcing, and marketing physical footwear and accessories — involves tangible products, complex global supply chains, and brand-driven consumer purchasing decisions that AI cannot structurally displace [2]. The fashion industry's reliance on trend forecasting, physical retail experiences, and tactile product evaluation creates natural defensive moats. However, AI tools could partially automate design processes, reduce the number of designers needed, and enable competitors to accelerate trend-to-market cycles, creating moderate exposure in the creative pipeline. AI-powered shopping tools may also shift consumer discovery away from brand loyalty toward algorithmic recommendations, potentially compressing brand premiums. AI Opportunity (1/1): The company has deployed AI through its Fast Simon partnership for e-commerce shopping optimization and is implementing AI-driven product page strategies to capture both human and AI-agent search traffic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Steve Madden Q4 and Full Year 2025 Earnings Release — $2.53B revenue, 11% growth, DTC up 79.9%, via StockTitan, February 2026</w:t>
      </w:r>
    </w:p>
    <w:p>
      <w:pPr>
        <w:spacing w:before="20" w:after="20"/>
        <w:ind w:left="170"/>
      </w:pPr>
      <w:r>
        <w:rPr>
          <w:rFonts w:ascii="Calibri" w:hAnsi="Calibri"/>
          <w:b/>
          <w:color w:val="4A6B25"/>
          <w:sz w:val="15"/>
        </w:rPr>
        <w:t xml:space="preserve">2. </w:t>
      </w:r>
      <w:r>
        <w:rPr>
          <w:rFonts w:ascii="Calibri" w:hAnsi="Calibri"/>
          <w:b w:val="0"/>
          <w:color w:val="3A4A28"/>
          <w:sz w:val="17"/>
        </w:rPr>
        <w:t>Consumer Goods Technology — Steve Madden AI strategy with Fast Simon partnership; Glassdoor employee reviews (3.4/5.0, 1,447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Sustainable Apparel Coalition membership and ESG profile — Censible ESG Rating and Fashion Transparency Index,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SHOO insider transactions, CEO Rosenfeld stock grants and executive sales,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SHOO key statistics (Forward P/E 14.7x, D/E 53.8%, ROE 5.5%),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