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SHPH</w:t>
      </w:r>
      <w:r>
        <w:rPr>
          <w:rFonts w:ascii="Calibri" w:hAnsi="Calibri"/>
          <w:b/>
          <w:color w:val="1A2010"/>
          <w:sz w:val="40"/>
        </w:rPr>
        <w:t xml:space="preserve">  Shuttle Pharmaceuticals Holdings, Inc.</w:t>
      </w:r>
    </w:p>
    <w:p>
      <w:pPr>
        <w:spacing w:after="120"/>
      </w:pPr>
      <w:r>
        <w:rPr>
          <w:rFonts w:ascii="Calibri" w:hAnsi="Calibri"/>
          <w:b/>
          <w:color w:val="6E8450"/>
          <w:sz w:val="18"/>
        </w:rPr>
        <w:t>GROWTH SLEEVE · 2026-04-12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Shuttle Pharmaceuticals is a clinical-stage specialty pharma founded in 2012 by Georgetown University Medical Center faculty, focused on radiation-sensitizing cancer therapies. Lead asset Ropidoxuridine (IPdR) was in Phase 2 for glioblastoma; in 2025 the company pivoted by acquiring Molecule.ai and winding down its lead clinical program. Market cap is approximately $1-4M.</w:t>
      </w:r>
    </w:p>
    <w:p>
      <w:r>
        <w:rPr>
          <w:rFonts w:ascii="Calibri" w:hAnsi="Calibri"/>
          <w:b/>
          <w:color w:val="6E8450"/>
          <w:sz w:val="18"/>
        </w:rPr>
        <w:t>10 Employees · https://shuttlepharma.com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Shuttle advanced Ropidoxuridine through Phase 2 enrollment with ~50% enrolled and 84% completing seven cycles, and secured FDA Orphan Drug Designation, but in 2025 committed to wind down the lead asset [2][3]. AI Deployment (1/2): The late-2025 acquisition of Molecule.ai for ~$10.1M signals a pivot to AI-driven molecular discovery, but the platform is new to Shuttle with no shipped products or validated results [3]. Market Share (0/2): Pre-commercial with zero product revenue and TTM revenue of approximately -$5.6M reported [1]. Pipeline (0/2): With Ropidoxuridine winding down and HDAC inhibitors (SP-2-225) still preclinical, there is no near-term pipeline visibility [2]. R&amp;D Intensity (0/1): Net loss of $11.7M on no revenue indicates cash-burn rather than differentiated R&amp;D spend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Shuttle articulates a mission to improve outcomes for cancer patients treated with radiation therapy — clear but not distinctive [2]. Community Impact (0/2): No evidence of charitable programs or community investment; the company is too small and cash-constrained. Employee Retention (0/2): With forced board resignations as a condition of a lender, interim Co-CEO appointments, and governance transition, retention data is not indicative of mission-driven loyalty [3][4]. Insider Buying (0/2): No evidence of meaningful net insider buying; dilutive financings have expanded share count materially.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near $0.67-$0.93 and roughly 1.9M shares outstanding (market cap ~$1-4M), daily trading value is well below the $1M liquidity floor, forcing Infrastructure to 0 [4][5]. Beyond liquidity, fundamentals are severely impaired: TTM revenue of -$5.6M, TTM net loss of $9.5-11.7M, working capital deficit of ~$7.5M, and an explicit going-concern warning from the auditor stating current cash plus an undrawn $2.0M revolver will not fund operations for 12 months [1][3]. The 2025 Molecule.ai acquisition for $10.1M further strained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Shuttle is playing a survival game, not an infinite one. Forced board resignations as lender conditions, winding down the lead asset (Ropidoxuridine) after years of investment, and a strategic pivot to Molecule.ai amid a going-concern warning all point to finite-game dynamics driven by capital scarcity rather than conviction [3][4].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founding mission — improve cancer patient outcomes via radiation sensitization — is genuine and rooted in Georgetown Medical Center heritage, but the 2025 decision to wind down Ropidoxuridine in favor of an acquired AI platform suggests the cause is being subordinated to capital markets reality rather than driving strategic decisions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Forced board resignations as a condition of a secured lender agreement, multiple CEO transitions in 2025 (interim Co-CEOs, Chairman handoff to George Scorsis), and pivot-driven restructuring signal an unstable, low-trust environment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self-awareness. The company barely has the resources to execute, let alone benchmark against worthy rivals in oncology radiation sensitizer development (where larger players like Merck, Novartis, and Roche dominate).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did execute a dramatic pivot — acquiring Molecule.ai and winding down Ropidoxuridine — which technically qualifies as existential flexibility. But Sinek would flag that this pivot appears driven by desperation (going-concern warning, dilutive financings) rather than by the Just Cause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did not invest through the downturn; they restructured under duress. Board resignations were lender-mandated rather than principled. Cumulative financings have destroyed equity value rather than built long-term capability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 case: Shuttle has pivoted from a failing single-asset radiation oncology bet into an AI-driven molecular discovery platform via the $10.1M Molecule.ai acquisition, retained an FDA Orphan Drug Designation for Ropidoxuridine, and still holds ~$4.8M in cash as of mid-2025 [3]. A successful Phase 2 readout or a strategic asset sale could produce outsized percentage returns from the current sub-$5M market cap. The company targets large unmet-need cancer indications and benefits from Georgetown University Medical Center's scientific lineage.</w:t>
      </w:r>
    </w:p>
    <w:p>
      <w:pPr>
        <w:spacing w:after="120"/>
      </w:pPr>
      <w:r>
        <w:rPr>
          <w:rFonts w:ascii="Calibri" w:hAnsi="Calibri"/>
          <w:b w:val="0"/>
          <w:color w:val="3A4A28"/>
          <w:sz w:val="20"/>
        </w:rPr>
        <w:t>Bear case dominates. The auditor issued a going-concern warning — current cash plus an undrawn $2M revolver are not expected to fund operations for 12 months [3]. TTM revenue of -$5.6M with TTM net loss of $9.5-11.7M and a $7.5M working capital deficit imply imminent dilutive financings or insolvency [1][3]. Board resignations were forced as lender conditions, a red flag for governance [4]. The stock trades at $0.67-$0.93 with a float of ~1.9M shares, failing IOWN's $1M daily-trading-value liquidity floor and making the position untradeable at any meaningful size [4][5]. The Molecule.ai pivot is unproven, and winding down Ropidoxuridine destroys years of invested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capital raise or strategic partnership to extend runway past the going-concern warning [3]</w:t>
      </w:r>
    </w:p>
    <w:p>
      <w:pPr>
        <w:spacing w:before="40" w:after="40"/>
        <w:ind w:left="283"/>
      </w:pPr>
      <w:r>
        <w:rPr>
          <w:rFonts w:ascii="Calibri" w:hAnsi="Calibri"/>
          <w:b/>
          <w:color w:val="4A6B25"/>
          <w:sz w:val="20"/>
        </w:rPr>
        <w:t xml:space="preserve">2. </w:t>
      </w:r>
      <w:r>
        <w:rPr>
          <w:rFonts w:ascii="Calibri" w:hAnsi="Calibri"/>
          <w:b w:val="0"/>
          <w:color w:val="3A4A28"/>
          <w:sz w:val="20"/>
        </w:rPr>
        <w:t>First commercial traction or partnership deal from the Molecule.ai AI molecular discovery platform [3]</w:t>
      </w:r>
    </w:p>
    <w:p>
      <w:pPr>
        <w:spacing w:before="40" w:after="40"/>
        <w:ind w:left="283"/>
      </w:pPr>
      <w:r>
        <w:rPr>
          <w:rFonts w:ascii="Calibri" w:hAnsi="Calibri"/>
          <w:b/>
          <w:color w:val="4A6B25"/>
          <w:sz w:val="20"/>
        </w:rPr>
        <w:t xml:space="preserve">3. </w:t>
      </w:r>
      <w:r>
        <w:rPr>
          <w:rFonts w:ascii="Calibri" w:hAnsi="Calibri"/>
          <w:b w:val="0"/>
          <w:color w:val="3A4A28"/>
          <w:sz w:val="20"/>
        </w:rPr>
        <w:t>Any Phase 2 glioblastoma data readout from residual Ropidoxuridine trial activity, though enrollment is being wound down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 cash of ~$4.8M plus $2M revolver insufficient to fund operations 12 months; insolvency or forced dilution near-certain [3]</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market cap of $1-4M and ~1.9M share float make the stock untradeable at IOWN sizing; forced Infrastructure score of 0 [4][5]</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 lender-forced board resignations, multiple interim CEO appointments, and strategic pivot under duress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Oncology drug development is structurally protected from AI disruption — FDA-regulated clinical trials, IP protection, and physical drug manufacturing cannot be substituted by AI tools. However, a bankrupt or wound-down biotech has no core business to protect [3]. AI Opportunity (1/1): Shuttle has explicitly pivoted via the Molecule.ai acquisition (~$10.1M) to become an AI-driven molecular discovery company, representing a potential AI-native business line even if early-stage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Shuttle Pharmaceuticals Q1 2026 Earnings — $0.06 EPS, TTM revenue -$5.6M, TTM net income -$9.5M, March 31 2026 release</w:t>
      </w:r>
    </w:p>
    <w:p>
      <w:pPr>
        <w:spacing w:before="20" w:after="20"/>
        <w:ind w:left="170"/>
      </w:pPr>
      <w:r>
        <w:rPr>
          <w:rFonts w:ascii="Calibri" w:hAnsi="Calibri"/>
          <w:b/>
          <w:color w:val="4A6B25"/>
          <w:sz w:val="15"/>
        </w:rPr>
        <w:t xml:space="preserve">2. </w:t>
      </w:r>
      <w:r>
        <w:rPr>
          <w:rFonts w:ascii="Calibri" w:hAnsi="Calibri"/>
          <w:b w:val="0"/>
          <w:color w:val="3A4A28"/>
          <w:sz w:val="17"/>
        </w:rPr>
        <w:t>Shuttle Pharmaceuticals — Ropidoxuridine Phase 2 glioblastoma trial update (50% enrolled, 84% completing 7 cycles), 2025</w:t>
      </w:r>
    </w:p>
    <w:p>
      <w:pPr>
        <w:spacing w:before="20" w:after="20"/>
        <w:ind w:left="170"/>
      </w:pPr>
      <w:r>
        <w:rPr>
          <w:rFonts w:ascii="Calibri" w:hAnsi="Calibri"/>
          <w:b/>
          <w:color w:val="4A6B25"/>
          <w:sz w:val="15"/>
        </w:rPr>
        <w:t xml:space="preserve">3. </w:t>
      </w:r>
      <w:r>
        <w:rPr>
          <w:rFonts w:ascii="Calibri" w:hAnsi="Calibri"/>
          <w:b w:val="0"/>
          <w:color w:val="3A4A28"/>
          <w:sz w:val="17"/>
        </w:rPr>
        <w:t>Shuttle Pharmaceuticals 10-K FY2025 — $11.7M net loss, $7.5M working capital deficit, going-concern warning, Molecule.ai $10.1M acquisition</w:t>
      </w:r>
    </w:p>
    <w:p>
      <w:pPr>
        <w:spacing w:before="20" w:after="20"/>
        <w:ind w:left="170"/>
      </w:pPr>
      <w:r>
        <w:rPr>
          <w:rFonts w:ascii="Calibri" w:hAnsi="Calibri"/>
          <w:b/>
          <w:color w:val="4A6B25"/>
          <w:sz w:val="15"/>
        </w:rPr>
        <w:t xml:space="preserve">4. </w:t>
      </w:r>
      <w:r>
        <w:rPr>
          <w:rFonts w:ascii="Calibri" w:hAnsi="Calibri"/>
          <w:b w:val="0"/>
          <w:color w:val="3A4A28"/>
          <w:sz w:val="17"/>
        </w:rPr>
        <w:t>Shuttle Pharmaceuticals — Board Resignation Announcement as lender condition, governance transition,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Morningstar — SHPH stock price ($0.67-$0.93), market cap $1-4M, 1.92M shares outstanding,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