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SHW</w:t>
      </w:r>
      <w:r>
        <w:rPr>
          <w:rFonts w:ascii="Calibri" w:hAnsi="Calibri"/>
          <w:b/>
          <w:color w:val="1A2010"/>
          <w:sz w:val="40"/>
        </w:rPr>
        <w:t xml:space="preserve">  The Sherwin-Williams Company</w:t>
      </w:r>
    </w:p>
    <w:p>
      <w:pPr>
        <w:spacing w:after="120"/>
      </w:pPr>
      <w:r>
        <w:rPr>
          <w:rFonts w:ascii="Calibri" w:hAnsi="Calibri"/>
          <w:b/>
          <w:color w:val="6E8450"/>
          <w:sz w:val="18"/>
        </w:rPr>
        <w:t>GROWTH SLEEVE · 2026-04-22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Sherwin-Williams is the world's largest manufacturer of paints and coatings, operating through three segments: Paint Stores Group (company-owned stores serving professional painters), Consumer Brands Group (products sold through home centers and hardware stores), and Performance Coatings Group (industrial coatings for automotive, aerospace, packaging, and wood finishing). Founded in 1866, the company operates over 4,800 company-operated stores worldwide.</w:t>
      </w:r>
    </w:p>
    <w:p>
      <w:r>
        <w:rPr>
          <w:rFonts w:ascii="Calibri" w:hAnsi="Calibri"/>
          <w:b/>
          <w:color w:val="6E8450"/>
          <w:sz w:val="18"/>
        </w:rPr>
        <w:t>64,249 Employees · https://www.sherwin-williams.com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Sherwin-Williams achieved 2025 consolidated net sales of $23.57B (up 2.1% YoY) and record adjusted EPS of $11.43, demonstrating steady execution in a soft demand environment [1]. The 2017 Valspar acquisition ($11.3B) was a transformative move that doubled the company's global coatings footprint. AI Deployment (0/2): No evidence of AI-powered products or quantifiable AI-driven cost savings. The company's technology investments focus on color-matching tools and e-commerce capabilities rather than AI [2]. Market Share (2/2): Sherwin-Williams is the global leader in paints and coatings by revenue, with 4,800+ company-operated stores creating an unmatched distribution moat in professional paint. The company holds the #1 position in architectural coatings in North America [1]. Pipeline (0/2): No specific next-generation products with named timelines were identified. The company's 2026 guidance centers on pricing and productivity rather than product innovation, with management describing a 'softer-for-longer' demand environment [1]. R&amp;D Intensity (1/1): Above-average R&amp;D investment for the coatings industry, with proprietary formulation technology across thousands of SKUs and continued investment in sustainable coatings formulations.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Sherwin-Williams' stated purpose — 'We inspire and improve the world by coloring and protecting what matters' — is specific, thoughtful, and connects the company's work to a larger purpose beyond selling paint [1]. It has guided strategic decisions including sustainability investments and community programs for over 150 years. Community Impact (2/2): The company has collected over 1 million gallons of paint for recycling through PaintCare, reduced employee injury rates by more than 50% since 2015, and publishes comprehensive sustainability reports covering circularity, climate, and occupational health [3]. With 64,249 employees, SHW is a major employer in Cleveland and globally. Employee Retention (1/2): Average retention for the industry. Glassdoor shows a CEO approval rating of 39% for Heidi Petz (appointed January 2024), with strengths in strategic clarity and frontline development but challenges in staffing capacity and day-to-day support [2]. Insider Buying (1/2): New CEO Heidi Petz has maintained equity positions, and the leadership transition from long-tenured predecessor was orderly, suggesting alignment. Specific insider buying data shows neutral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Sherwin-Williams' financials reflect a leveraged but highly profitable business model constrained by slow growth. D/E of 306% hits the scoring floor due to the Valspar acquisition-related debt ($14.1B total debt vs. $207M cash) [4]. ROE of 59.4% is exceptional, driven by both strong profitability and leveraged capital structure. Revenue growth of 5.6% YoY and a 3-year CAGR of just 2.1% fall well below the 10% targets, reflecting a mature housing and construction cycle [1]. Forward P/E of 25x and PEG of 2.99 are expensive for a company growing earnings only ~2.4% in 2026. Profit margin of 10.9% is moderate — below the 20% target but consistent with the capital-intensive manufacturing model. Operating cash flow of $3.45B and free cash flow of $1.93B provide financial flexibility despite the high leverage [4]. Liquidity floor easily cleared: 1.78M avg volume x $334.61 = $595M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Sherwin-Williams exhibits strong infinite game characteristics rooted in its 160-year history and consistent purpose. The company has survived and thrived through multiple economic cycles, world wars, and industry transformations while maintaining focus on paints and coatings. However, the recent CEO transition and high leverage from the Valspar acquisition introduce near-term organizational uncertainty.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SHW earns 3/3 points. 'We inspire and improve the world by coloring and protecting what matters' has been validated by 160 years of consistent execution through multiple economic crises, industry disruptions, and leadership transitions [1]. The purpose is not marketing — it has driven strategic decisions including the Valspar acquisition (expanding global protection capabilities), sustainability investments, and the PaintCare recycling program. Sherwin-Williams is one of the few companies where the Just Cause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SHW earns 1/2 points. The company has 64,249 employees with a structured leadership development program and reduced injury rates by 50%+ since 2015, suggesting investment in employee safety and development [2][3]. However, CEO Heidi Petz has only a 39% Glassdoor approval rating, and employee reviews cite challenges in staffing capacity, cross-level information flow, and inconsistent day-to-day support at the store/district level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SHW earns 0/1 points. Sherwin-Williams' competitive posture is dominance-oriented. As the world's largest paint company, management language focuses on market share gains and distribution advantages rather than learning from competitors like PPG, Akzo Nobel, or Benjamin Moore. The company's strategy is about owning more stores and controlling more distribution — a finite game of accumulation rather than infinite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SHW earns 1/2 points. The Valspar acquisition represented significant strategic evolution — expanding from primarily North American architectural coatings into a global platform including industrial, automotive, and packaging coatings [1]. The company has also adapted by expanding its company-owned store network (now 4,800+) when competitors were retreating to wholesale channels. However, the core business model has remained fundamentally the same: manufacture and sell paint.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SHW earns 1/2 points. The $11.3B Valspar acquisition in 2017 was a courageous bet — the largest in company history — that doubled SHW's global coatings footprint and is now fully integrated [1]. The company continued investing through the 2020 pandemic and maintained its dividend growth streak through downturns. However, the 2026 guidance is conservative and reactive ('softer-for-longer'), lacking the boldness of a company leaning into adversity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Sherwin-Williams is the world's largest paint and coatings company with an unmatched distribution moat of 4,800+ company-operated stores, delivering $23.57B in 2025 revenue with a 46-year consecutive dividend growth streak [1]. The company's ROE of 59.4% and operating cash flow of $3.45B demonstrate exceptional capital efficiency despite the leveraged balance sheet [4]. SHW is structurally immune to AI disruption — physical paint manufacturing, distribution, and application cannot be digitized or automated away. The stock's premium valuation (25x forward P/E) reflects the company's quality and durability, while the 160-year track record through recessions, wars, and housing busts provides confidence in long-term resilience [1].</w:t>
      </w:r>
    </w:p>
    <w:p>
      <w:pPr>
        <w:spacing w:after="120"/>
      </w:pPr>
      <w:r>
        <w:rPr>
          <w:rFonts w:ascii="Calibri" w:hAnsi="Calibri"/>
          <w:b w:val="0"/>
          <w:color w:val="3A4A28"/>
          <w:sz w:val="20"/>
        </w:rPr>
        <w:t>The bear case centers on valuation and growth headwinds. D/E of 306% — driven by the Valspar acquisition — leaves minimal balance sheet flexibility if the housing downturn deepens. Revenue growth of just 2.1% 3-year CAGR and EPS growing only 1.4% YoY reflect a mature business in a cyclical trough, yet the stock trades at 25x forward earnings and a 2.99 PEG ratio — pricing in a recovery that management says may not arrive until H2 2026 [1]. New CEO Heidi Petz (appointed January 2024) has a 39% Glassdoor approval rating, and the leadership transition adds execution uncertainty [2]. Profit margin of 10.9% is constrained by raw material costs (TiO2, petrochemicals) that are subject to commodity cycles. The housing market remains 'softer-for-longer' per management, with mortgage rates suppressing the remodel/repaint activity that drives the Paint Stores Group. Total debt of $14.1B against just $207M cash creates vulnerability in a prolonged downturn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cycle recovery — when mortgage rates decline, pent-up demand for remodeling and repainting typically drives a sharp rebound in Paint Stores Group volumes, the highest-margin segment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raw material deflation — potential easing in TiO2 and petrochemical costs combined with SHW's pricing power could drive gross margin expansion beyond the current 48.8% [4]</w:t>
      </w:r>
    </w:p>
    <w:p>
      <w:pPr>
        <w:spacing w:before="40" w:after="40"/>
        <w:ind w:left="283"/>
      </w:pPr>
      <w:r>
        <w:rPr>
          <w:rFonts w:ascii="Calibri" w:hAnsi="Calibri"/>
          <w:b/>
          <w:color w:val="4A6B25"/>
          <w:sz w:val="20"/>
        </w:rPr>
        <w:t xml:space="preserve">3. </w:t>
      </w:r>
      <w:r>
        <w:rPr>
          <w:rFonts w:ascii="Calibri" w:hAnsi="Calibri"/>
          <w:b w:val="0"/>
          <w:color w:val="3A4A28"/>
          <w:sz w:val="20"/>
        </w:rPr>
        <w:t>Dividend aristocrat trajectory — 46 consecutive years of dividend growth with a conservative 30.8% payout ratio and 9.5% 5-year dividend growth CAGR provides room for continued increases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housing downturn — management's 'softer-for-longer' outlook suggests the primary demand driver (residential repainting/remodeling) may remain depressed through 2026, limiting revenue growth [1]</w:t>
      </w:r>
    </w:p>
    <w:p>
      <w:pPr>
        <w:spacing w:before="40" w:after="40"/>
        <w:ind w:left="283"/>
      </w:pPr>
      <w:r>
        <w:rPr>
          <w:rFonts w:ascii="Calibri" w:hAnsi="Calibri"/>
          <w:b/>
          <w:color w:val="4A6B25"/>
          <w:sz w:val="20"/>
        </w:rPr>
        <w:t xml:space="preserve">2. </w:t>
      </w:r>
      <w:r>
        <w:rPr>
          <w:rFonts w:ascii="Calibri" w:hAnsi="Calibri"/>
          <w:b w:val="0"/>
          <w:color w:val="3A4A28"/>
          <w:sz w:val="20"/>
        </w:rPr>
        <w:t>High leverage — D/E of 306% with $14.1B total debt vs. $207M cash creates vulnerability to interest rate risk and limits strategic flexibility for acquisitions or share repurchases [4]</w:t>
      </w:r>
    </w:p>
    <w:p>
      <w:pPr>
        <w:spacing w:before="40" w:after="40"/>
        <w:ind w:left="283"/>
      </w:pPr>
      <w:r>
        <w:rPr>
          <w:rFonts w:ascii="Calibri" w:hAnsi="Calibri"/>
          <w:b/>
          <w:color w:val="4A6B25"/>
          <w:sz w:val="20"/>
        </w:rPr>
        <w:t xml:space="preserve">3. </w:t>
      </w:r>
      <w:r>
        <w:rPr>
          <w:rFonts w:ascii="Calibri" w:hAnsi="Calibri"/>
          <w:b w:val="0"/>
          <w:color w:val="3A4A28"/>
          <w:sz w:val="20"/>
        </w:rPr>
        <w:t>CEO transition execution risk — Heidi Petz assumed the CEO role in January 2024 with only a 39% Glassdoor approval rating, creating uncertainty around organizational culture and strategic direction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Sherwin-Williams' core business — manufacturing and distributing physical paint and coatings — is structurally immune to AI disruption. Paint stores require physical inventory, professional painters need hands-on product recommendations, and chemical formulation relies on proprietary physical processes that AI cannot replicate or substitute [1]. The company's 4,800+ owned-and-operated stores create a physical distribution network that serves as an unbreachable moat. Industrial coatings for automotive, aerospace, and packaging require physical application and regulatory compliance that AI cannot automate away. Housing renovation and construction — the primary demand drivers — involve physical-world work that AI enhances rather than threatens. AI Opportunity (0/1): No evidence of meaningful AI-derived revenue. SHW's technology investments are in color-matching and e-commerce tools rather than AI products or services that generate incremental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Sherwin-Williams 2025 Year-End and Q4 Financial Results — $23.57B revenue, record adjusted EPS $11.43, 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Built In, Comparably — Sherwin-Williams CEO approval rating, leadership culture, employee sentiment, 2025-2026</w:t>
      </w:r>
    </w:p>
    <w:p>
      <w:pPr>
        <w:spacing w:before="20" w:after="20"/>
        <w:ind w:left="170"/>
      </w:pPr>
      <w:r>
        <w:rPr>
          <w:rFonts w:ascii="Calibri" w:hAnsi="Calibri"/>
          <w:b/>
          <w:color w:val="4A6B25"/>
          <w:sz w:val="15"/>
        </w:rPr>
        <w:t xml:space="preserve">3. </w:t>
      </w:r>
      <w:r>
        <w:rPr>
          <w:rFonts w:ascii="Calibri" w:hAnsi="Calibri"/>
          <w:b w:val="0"/>
          <w:color w:val="3A4A28"/>
          <w:sz w:val="17"/>
        </w:rPr>
        <w:t>Sherwin-Williams Sustainability Report 2024 — PaintCare recycling program, injury rate reduction, ESG commitments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SHW (Sherwin-Williams),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