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SIDU</w:t>
      </w:r>
      <w:r>
        <w:rPr>
          <w:rFonts w:ascii="Calibri" w:hAnsi="Calibri"/>
          <w:b/>
          <w:color w:val="1A2010"/>
          <w:sz w:val="40"/>
        </w:rPr>
        <w:t xml:space="preserve">  Sidus Space,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2026-05-12 · Inspire: 61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Sidus Space, Inc. designs, manufactures, launches, and collects data from commercial satellites worldwide, offering its LizzieSat modular satellite platform, AI-driven edge computing solutions, and end-to-end mission operations services for commercial, government, and defense customers.</w:t>
      </w:r>
    </w:p>
    <w:p>
      <w:r>
        <w:rPr>
          <w:rFonts w:ascii="Calibri" w:hAnsi="Calibri"/>
          <w:b/>
          <w:color w:val="6E8450"/>
          <w:sz w:val="18"/>
        </w:rPr>
        <w:t>99 Employees · https://www.sidusspace.com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Sidus has transitioned from a manufacturing services company to a vertically integrated space technology provider, developing the LizzieSat modular satellite platform with hybrid 3D-printed architecture and the Orlaith AI Ecosystem integrating radiation-tolerant edge processors with AI software [1][3]. AI Deployment (1/2): The Orlaith AI Ecosystem and FeatherEdge edge processor represent genuine AI deployment for on-orbit data processing, though no specific revenue or cost savings have been quantified from these AI products [3]. Market Share Leadership (0/2): Sidus is a micro-cap ($302M) player in the crowded small satellite market, competing against well-funded incumbents like Planet Labs, Spire Global, and BlackSky with only $3.4M in annual revenue [1]. Product Pipeline (2/2): LizzieSat fleet expansion is underway with specific multi-mission capability across LEO, GEO, cislunar, and lunar orbits, and the company has outlined a clear roadmap for data-as-a-service commercialization tied to the growing satellite constellation [1][3]. R&amp;D Intensity (0/1): No evidence of above-industry R&amp;D spending relative to peers given the company's small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'Space Access Reimagined' is a clear but not deeply distinctive mission — it describes an aspiration shared by many NewSpace companies without articulating a unique deeper purpose or societal benefit beyond operational improvement [3]. Community &amp; Charitable Impact (0/2): No evidence of significant charitable programs or community investment beyond CEO Carol Craig's appointment to the Canaveral Port Authority Board [4]. Employee Retention (0/2): With only 99 employees, the company is too small to generate meaningful retention data, and the governance concerns around related-party transactions with Craig Technologies raise organizational trust questions [5]. Insider Buying (1/2): CEO Carol Craig maintains significant ownership as founder, but the Fugazi Research report flagging conflicts of interest between Sidus Space and Craig's private company Craig Technologies (47% of 2025 revenue) raises questions about insider alignment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Sidus Space's financial infrastructure is severely challenged — FY2025 revenue was just $3.4M (down 28% YoY), net loss widened to $29.5M, and cost of revenue at $9.1M exceeded revenue by nearly 3x [1][6]. ROE is -79.5% and profit margins are effectively zero. The balance sheet bright spot is $43.2M cash (up 175% YoY) with no outstanding term debt, providing runway for satellite fleet expansion. However, adjusted EBITDA loss deteriorated to -$17.3M from -$12.9M, indicating cash operating performance is worsening even as the strategic pivot progresses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Sidus Space exhibits predominantly finite game characteristics — the company is focused on near-term survival and capital market access rather than articulating a long-term vision that transcends quarterly results. Significant governance concerns around related-party transactions with the CEO's private company, repeated equity raises, and amended financial filings suggest organizational priorities may not be aligned with long-term stakeholder value creation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'Space Access Reimagined' exists as a tagline but lacks the depth and specificity of a true Just Cause. The company's strategic narrative shifts between manufacturing services, satellite platforms, data-as-a-service, and AI edge computing without a consistent through-line that would indicate a deeply held purpose driving decisions over time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governance red flags identified by Fugazi Research — CEO's private company Craig Technologies accounting for 47% of revenue, shared leadership and facilities, ineffective disclosure controls admitted in the 10-K, replaced audit reports, and sudden audit committee leadership changes — indicate an environment where organizational trust is compromised by conflicts of interest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management acknowledging competitors' strengths or using competitive dynamics for self-improvement. The company's communications focus on its own capabilities without reference to learning from established players like Planet Labs, Spire Global, or BlackSky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Sidus has evolved from Craig Technologies' manufacturing services roots into a satellite platform and data services company, representing meaningful strategic adaptation. The transition from lower-margin hardware services to higher-margin space-based data and AI solutions shows willingness to reinvent the business model, though the pivot is still in early stages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long-term leadership decisions. The company's financial trajectory — widening losses, declining revenue, repeated equity raises — suggests management is focused on maintaining access to capital markets rather than making difficult strategic choices. The reliance on Craig Technologies for 47% of revenue raises questions about whether leadership prioritizes company success or personal interests [1][5].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Sidus Space is positioning itself at the intersection of space technology and AI with its LizzieSat modular satellite platform and Orlaith AI Ecosystem for on-orbit edge computing. The company's vertically integrated approach — from satellite design and 3D-printed manufacturing to AI-driven data-as-a-service — offers a differentiated value proposition if the constellation can achieve sufficient scale [1][3].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the investment case is overshadowed by severe financial and governance concerns. FY2025 revenue was just $3.4M (down 28% YoY) against a $29.5M net loss, with adjusted EBITDA loss worsening to -$17.3M [1]. Governance red flags — CEO's private company receiving 47% of revenue, ineffective disclosure controls, replaced audit reports, and multiple equity raises — create material risk that shareholder interests are not being prioritized. The $302M market cap on minimal revenue requires extraordinary faith in execution and management alignment [5][6].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LizzieSat constellation expansion could unlock recurring data-as-a-service revenue from defense, intelligence, and commercial customers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Orlaith AI Ecosystem with FeatherEdge edge processor could establish Sidus as a leader in on-orbit AI processing, commanding premium pricing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Growing defense and commercial pipeline conversion into contracted programs as government space spending accelerates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Governance concerns including CEO's private company receiving 47% of revenue, ineffective disclosure controls, and replaced audit reports create material stewardship risk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declining 28% YoY to $3.4M with widening losses of $29.5M annually, funded by repeated dilutive equity raises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well-funded satellite operators like Planet Labs ($900M+ revenue), Spire Global, and BlackSky who have larger constellations and established customer bases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Sidus Space's core business of satellite manufacturing, launch operations, and space-based data collection involves physical hardware and regulated space operations that AI cannot replace [1]. The vertically integrated manufacturing facility and FAA/FCC-regulated launch processes create structural barriers. However, the data analytics and processing services face competitive pressure from AI-native satellite data companies with larger constellations and more training data. AI Opportunity (1/1): The Orlaith AI Ecosystem represents genuine AI revenue potential — on-orbit edge computing with the FeatherEdge processor enables real-time data processing and AI/ML inference in space, a capability that could command premium pricing as the LizzieSat constellation scales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Sidus Space FY2025 Financial Results Press Release,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Sidus Space Q4 2025 Earnings Call Transcript, Investing.com,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Sidus Space Corporate Website — Products, LizzieSat, Orlaith AI,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Sidus Space CEO Carol Craig — Canaveral Port Authority Appointment, December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Fugazi Research — 'The Black Hole at SIDU,' Governance Analysis,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SIDU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