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SKT</w:t>
      </w:r>
      <w:r>
        <w:rPr>
          <w:rFonts w:ascii="Calibri" w:hAnsi="Calibri"/>
          <w:b/>
          <w:color w:val="1A2010"/>
          <w:sz w:val="40"/>
        </w:rPr>
        <w:t xml:space="preserve">  Tanger Inc.</w:t>
      </w:r>
    </w:p>
    <w:p>
      <w:pPr>
        <w:spacing w:after="120"/>
      </w:pPr>
      <w:r>
        <w:rPr>
          <w:rFonts w:ascii="Calibri" w:hAnsi="Calibri"/>
          <w:b/>
          <w:color w:val="6E8450"/>
          <w:sz w:val="18"/>
        </w:rPr>
        <w:t>DIVIDEND SLEEVE · 2026-05-04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Tanger Inc. is a leading owner and operator of outlet and open-air retail shopping destinations with over 45 years of expertise. The portfolio includes 38 outlet centers and three open-air lifestyle centers comprising more than 16 million square feet across 22 U.S. states and Canada. A publicly traded REIT since 1993, Tanger operates over 3,000 stores with more than 800 brand name companies. Incorporated in 1981 in North Carolina.</w:t>
      </w:r>
    </w:p>
    <w:p>
      <w:r>
        <w:rPr>
          <w:rFonts w:ascii="Calibri" w:hAnsi="Calibri"/>
          <w:b/>
          <w:color w:val="6E8450"/>
          <w:sz w:val="18"/>
        </w:rPr>
        <w:t>407 Employees · https://www.tanger.inc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Tanger delivered 10.75% revenue growth to $595M in 2025 and increased 2026 guidance after strong Q1 results, executing a successful transformation from pure outlet operator to experiential retail destination [1]. FFO rose 13.3% to $278M in 2025, and the expansion into open-air lifestyle centers represents a meaningful business model evolution beyond traditional outlet retail. AI Deployment (0/2): No AI-powered products or AI-driven revenue. Retail real estate is a physical asset business, though digital marketing and omnichannel initiatives enhance tenant relationships. Market Share (1/2): Tanger is the dominant pure-play outlet REIT and one of only a few publicly traded outlet specialists, with a 45-year track record and established brand recognition among value-conscious shoppers [1]. However, Simon Property Group's Premium Outlets division is the overall category leader. Pipeline (1/2): CEO Yalof's strategy to evolve from 'operator' to 'curator' of experiential retail is visible in new leasing activity, food/entertainment additions, and lifestyle center development, with record leasing volumes driven by strong retailer demand and limited new supply [1][2]. R&amp;D Intensity (1/1): Investment in digital transformation, omnichannel capabilities, LEED certifications (50%+ of portfolio), and solar infrastructure exceeds typical retail REIT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Tanger articulates a purpose of creating shopping destinations that connect communities with brands they love at great values — clear and specific to its business but not transformative beyond retail real estate [2]. Community Impact (2/2): Tanger provides 40 hours paid volunteer time per employee, has committed to Net Zero Scope 1&amp;2 emissions by 2050, doubled solar infrastructure and EV charging in 2022, electrified 100% of its security fleet, and certified 50%+ of portfolio to LEED standards — distinctive and measurable community investment for a retail REIT [3]. Employee Retention (1/2): 407-person field-led organization with core value 'Seek the Success of Others' and formal employee awards programs. No negative employment data surfaced, though limited public retention metrics are available [2]. Insider Buying (1/2): CEO Yalof joined in 2020 with significant equity compensation and has maintained alignment. No evidence of major insider selling; stable executive team since the 2021 leadership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dividend metrics. D/E of 230% scores 0.31 — elevated for REITs but typical of the sector's asset-heavy model with $1.69B debt against $18M cash [4]. ROE of 16.9% scores 1.0 (above 15% target). Revenue growth YoY of 13.9% scores 1.0 (above 10% target). Forward P/E of 29.9 scores 0.75. Profit margin of 19.3% scores 0.96 (near 20% target) [4]. Payout ratio of 110.4% scores 0.0 — typical for REITs where GAAP payout exceeds 100% due to depreciation (FFO-based payout is sustainable). Consecutive years paid: 33 years since 1993 IPO scores 1.0 (2× weight). Consecutive years growth: ~5 years since post-COVID restart scores 0.5. 5yr dividend growth CAGR of ~12.6% scores 1.0 (2× weight, well above 6% target) [4]. Liquidity floor easily passes: 895K avg volume × $36.35 = $32.6M.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Tanger demonstrates meaningful infinite game characteristics through its 45-year operating history, successful CEO transition from founder Steven Tanger to Stephen Yalof, and strategic evolution from pure outlet operator to experiential retail curator. The company's commitment to Net Zero by 2050, LEED certification of 50%+ of its portfolio, and employee volunteer programs reflect genuine long-term thinking. The COVID dividend cut was a finite-game compromise, but the steady dividend rebuilding since 2021 shows commitment to sustainable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Tanger's 45-year purpose of creating accessible, value-driven shopping destinations connects retail to community — CEO Yalof's vision of being a 'curator' rather than 'operator' of experiential retail elevates the cause beyond simply owning real estate [2]. The company's core value 'Seek the Success of Others' and commitment to brand partner success over extractive lease terms suggests genuine intentionality. However, the cause is commercial rather than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Tanger's 407-person organization operates as a field-led, community-driven company with 40 hours paid volunteer time and formal employee recognition programs [2]. The successful CEO transition from founder to Yalof without organizational disruption suggests a stable culture. No negative employment data surfaced. However, limited public data on turnover or employee satisfaction prevents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Yalof previously led Simon Premium Outlets and brought that experience to improve Tanger — explicitly learning from the market leader's strengths [2]. Yalof's public commentary frames competition as motivation to evolve the outlet model rather than to 'beat' Simon, and the hiring of Sonia Syngal (former Gap CEO) to the board shows openness to learning from rival retail operators.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Tanger's evolution from pure outlet centers to include open-air lifestyle centers and experiential retail shows willingness to adapt the business model as consumer behavior shifts [1][2]. The digital transformation and omnichannel strategy represent incremental adaptation. However, the core model (owning/operating physical retail centers) has remained fundamentally unchanged for 45 years — evolution rather than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Hiring CEO Yalof from competitor Simon and empowering him to reimagine Tanger's strategy required courage from the founding family [2]. Investing in LEED certifications, solar infrastructure, and Net Zero commitments when peers focused on cost-cutting shows willingness to invest for long-term sustainability [3]. The COVID dividend cut, while necessary, was followed by steady rebuilding rather than financial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Tanger is the dominant pure-play outlet REIT delivering accelerating financial performance — revenue grew 10.75% to $595M in 2025, FFO rose 13.3% to $278M, and management increased 2026 guidance after a strong Q1 [1]. The company benefits from structural tailwinds: limited new outlet supply nationally, record leasing volumes from strong retailer demand, and the resilience of value-oriented shopping during inflationary periods. At $36.35 with a 3.27% dividend yield and 12.6% 5-year dividend growth CAGR, Tanger offers a compelling income growth story supported by 33 consecutive years of dividend payments [4]. CEO Yalof's transformation from 'operator' to 'curator' of experiential retail destinations, combined with 45 years of outlet expertise and $4.2B market cap, positions Tanger as a stable income compounder.</w:t>
      </w:r>
    </w:p>
    <w:p>
      <w:pPr>
        <w:spacing w:after="120"/>
      </w:pPr>
      <w:r>
        <w:rPr>
          <w:rFonts w:ascii="Calibri" w:hAnsi="Calibri"/>
          <w:b w:val="0"/>
          <w:color w:val="3A4A28"/>
          <w:sz w:val="20"/>
        </w:rPr>
        <w:t>The bear case centers on structural risks to physical retail real estate. D/E of 230% reflects heavy leverage typical of REITs but creates interest rate sensitivity — rising rates compress cap rates and increase refinancing costs on $1.69B debt [4]. The GAAP payout ratio exceeds 100% (though FFO-based payout is sustainable), and the COVID dividend cut from $1.43 to $0.71 annually demonstrates that REIT dividends are not guaranteed during crises. Forward P/E of 29.9x is elevated for a retail REIT, pricing in continued growth execution. The e-commerce threat persists — while outlets have proven more resilient than enclosed malls, direct-to-consumer brand strategies could reduce tenant demand. Revenue growth of 13.9% partially reflects acquisition/development contributions rather than same-center organic growth. The PEG ratio of 4.14 suggests the market may be overvaluing the growth trajectory relative to fundamentals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leasing volumes and limited new outlet supply nationally create favorable pricing dynamics — Tanger can drive rent spreads higher as existing leases roll to market rates [1]</w:t>
      </w:r>
    </w:p>
    <w:p>
      <w:pPr>
        <w:spacing w:before="40" w:after="40"/>
        <w:ind w:left="283"/>
      </w:pPr>
      <w:r>
        <w:rPr>
          <w:rFonts w:ascii="Calibri" w:hAnsi="Calibri"/>
          <w:b/>
          <w:color w:val="4A6B25"/>
          <w:sz w:val="20"/>
        </w:rPr>
        <w:t xml:space="preserve">2. </w:t>
      </w:r>
      <w:r>
        <w:rPr>
          <w:rFonts w:ascii="Calibri" w:hAnsi="Calibri"/>
          <w:b w:val="0"/>
          <w:color w:val="3A4A28"/>
          <w:sz w:val="20"/>
        </w:rPr>
        <w:t>Lifestyle center expansion and experiential retail transformation under CEO Yalof broadens the portfolio beyond traditional outlets, potentially attracting a wider tenant and consumer base [2]</w:t>
      </w:r>
    </w:p>
    <w:p>
      <w:pPr>
        <w:spacing w:before="40" w:after="40"/>
        <w:ind w:left="283"/>
      </w:pPr>
      <w:r>
        <w:rPr>
          <w:rFonts w:ascii="Calibri" w:hAnsi="Calibri"/>
          <w:b/>
          <w:color w:val="4A6B25"/>
          <w:sz w:val="20"/>
        </w:rPr>
        <w:t xml:space="preserve">3. </w:t>
      </w:r>
      <w:r>
        <w:rPr>
          <w:rFonts w:ascii="Calibri" w:hAnsi="Calibri"/>
          <w:b w:val="0"/>
          <w:color w:val="3A4A28"/>
          <w:sz w:val="20"/>
        </w:rPr>
        <w:t>2026 guidance increase after strong Q1 results signals management confidence in accelerating FFO growth trajectory, supporting continued double-digit dividend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$1.69B debt with D/E of 230% means rising rates increase refinancing costs and compress property valuations, directly impacting REIT economics [4]</w:t>
      </w:r>
    </w:p>
    <w:p>
      <w:pPr>
        <w:spacing w:before="40" w:after="40"/>
        <w:ind w:left="283"/>
      </w:pPr>
      <w:r>
        <w:rPr>
          <w:rFonts w:ascii="Calibri" w:hAnsi="Calibri"/>
          <w:b/>
          <w:color w:val="4A6B25"/>
          <w:sz w:val="20"/>
        </w:rPr>
        <w:t xml:space="preserve">2. </w:t>
      </w:r>
      <w:r>
        <w:rPr>
          <w:rFonts w:ascii="Calibri" w:hAnsi="Calibri"/>
          <w:b w:val="0"/>
          <w:color w:val="3A4A28"/>
          <w:sz w:val="20"/>
        </w:rPr>
        <w:t>E-commerce structural threat — direct-to-consumer brand strategies and online outlet channels could reduce physical outlet traffic and tenant demand over the medium term</w:t>
      </w:r>
    </w:p>
    <w:p>
      <w:pPr>
        <w:spacing w:before="40" w:after="40"/>
        <w:ind w:left="283"/>
      </w:pPr>
      <w:r>
        <w:rPr>
          <w:rFonts w:ascii="Calibri" w:hAnsi="Calibri"/>
          <w:b/>
          <w:color w:val="4A6B25"/>
          <w:sz w:val="20"/>
        </w:rPr>
        <w:t xml:space="preserve">3. </w:t>
      </w:r>
      <w:r>
        <w:rPr>
          <w:rFonts w:ascii="Calibri" w:hAnsi="Calibri"/>
          <w:b w:val="0"/>
          <w:color w:val="3A4A28"/>
          <w:sz w:val="20"/>
        </w:rPr>
        <w:t>Elevated GAAP payout ratio (110.4%) and COVID-era dividend cut precedent demonstrate income fragility during economic downturns, when consumer discretionary spending contracts and tenant bankruptcies increase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Tanger owns and operates physical retail real estate — 16 million square feet of outlet and lifestyle centers across 22 states and Canada that AI cannot replicate or displace [1]. The outlet shopping experience combines physical browsing, in-person try-on, and social/entertainment elements that are inherently resistant to digital substitution. The outlet model specifically serves price-conscious consumers who want to physically examine discounted merchandise. AI may enhance Tanger's marketing, tenant analytics, and operational efficiency but cannot replace physical retail destinations anchored by 800+ brand tenants. Limited new outlet supply nationally adds structural protection. AI Opportunity (0/1): No AI-generated revenue. Tanger is a physical real estate company with no AI products or services, though digital marketing and omnichannel initiatives leverage data analytics.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Tanger Q1 2026 Earnings Release — increased 2026 guidance, record leasing volumes; FY2025 revenue $595M (+10.75%), FFO $278M (+13.3%)</w:t>
      </w:r>
    </w:p>
    <w:p>
      <w:pPr>
        <w:spacing w:before="20" w:after="20"/>
        <w:ind w:left="170"/>
      </w:pPr>
      <w:r>
        <w:rPr>
          <w:rFonts w:ascii="Calibri" w:hAnsi="Calibri"/>
          <w:b/>
          <w:color w:val="4A6B25"/>
          <w:sz w:val="15"/>
        </w:rPr>
        <w:t xml:space="preserve">2. </w:t>
      </w:r>
      <w:r>
        <w:rPr>
          <w:rFonts w:ascii="Calibri" w:hAnsi="Calibri"/>
          <w:b w:val="0"/>
          <w:color w:val="3A4A28"/>
          <w:sz w:val="17"/>
        </w:rPr>
        <w:t>Retail TouchPoints and Nareit — CEO Yalof interview on 'curator' strategy, Sonia Syngal board election, corporate culture and values</w:t>
      </w:r>
    </w:p>
    <w:p>
      <w:pPr>
        <w:spacing w:before="20" w:after="20"/>
        <w:ind w:left="170"/>
      </w:pPr>
      <w:r>
        <w:rPr>
          <w:rFonts w:ascii="Calibri" w:hAnsi="Calibri"/>
          <w:b/>
          <w:color w:val="4A6B25"/>
          <w:sz w:val="15"/>
        </w:rPr>
        <w:t xml:space="preserve">3. </w:t>
      </w:r>
      <w:r>
        <w:rPr>
          <w:rFonts w:ascii="Calibri" w:hAnsi="Calibri"/>
          <w:b w:val="0"/>
          <w:color w:val="3A4A28"/>
          <w:sz w:val="17"/>
        </w:rPr>
        <w:t>Tanger 2022-2023 ESG Reports — Net Zero 2050 commitment, LEED certifications, solar infrastructure, EV charging, employee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SKT key statistics, dividend history,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