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SLB</w:t>
      </w:r>
      <w:r>
        <w:rPr>
          <w:rFonts w:ascii="Calibri" w:hAnsi="Calibri"/>
          <w:b/>
          <w:color w:val="1A2010"/>
          <w:sz w:val="40"/>
        </w:rPr>
        <w:t xml:space="preserve">  SLB (formerly Schlumberger Limited)</w:t>
      </w:r>
    </w:p>
    <w:p>
      <w:pPr>
        <w:spacing w:after="120"/>
      </w:pPr>
      <w:r>
        <w:rPr>
          <w:rFonts w:ascii="Calibri" w:hAnsi="Calibri"/>
          <w:b/>
          <w:color w:val="6E8450"/>
          <w:sz w:val="18"/>
        </w:rPr>
        <w:t>DIVIDEND SLEEVE · 2026-03-24 · Inspire: 51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France</w:t>
      </w:r>
    </w:p>
    <w:p>
      <w:pPr>
        <w:spacing w:after="80"/>
      </w:pPr>
      <w:r>
        <w:rPr>
          <w:rFonts w:ascii="Calibri" w:hAnsi="Calibri"/>
          <w:b w:val="0"/>
          <w:color w:val="3A4A28"/>
          <w:sz w:val="20"/>
        </w:rPr>
        <w:t>SLB is the world's largest oilfield services company, holding a first or second competitive position in its core service lines globally. The company rebranded from Schlumberger to SLB in 2022 to signal its evolution toward digital and technology services, with revenue of $35.71B in 2025 and digital segment ARR of $926M. CEO Olivier Le Peuch is executing a pivot toward AI-powered digital services, carbon capture, and geothermal, targeting $10B in new energy revenue by 2040.</w:t>
      </w:r>
    </w:p>
    <w:p>
      <w:r>
        <w:rPr>
          <w:rFonts w:ascii="Calibri" w:hAnsi="Calibri"/>
          <w:b/>
          <w:color w:val="6E8450"/>
          <w:sz w:val="18"/>
        </w:rPr>
        <w:t>100,000 Employees · https://www.slb.com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SLB's 2022 rebranding to an 'energy technology' company — combined with the launch of its Delfi cognitive E&amp;P environment, 'Lumi' generative AI platform, and 'Tela' AI assistant — represents a genuine business model transformation from field services to tech-enabled energy solutions [2]. The Digital &amp; Integration segment achieved ARR of $926M (+7% YoY) with 32.7% EBITDA margins — the highest-margin business in the portfolio [1]. SLB's AI tool for E&amp;P operators delivered a documented 23.4% efficiency improvement in customer operations [2]. Combined revenue from CCS, geothermal, critical minerals, and data center solutions is on pace to exceed $1B in 2025, ahead of schedule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Olivier Le Peuch's 7-year tenure and explicit positioning of SLB as a 'global energy architect' reflect a clear, evolving purpose connecting traditional energy services to the transition economy [2]. The company's 2022 rebranding demonstrated willingness to challenge its own identity, and its $1B+ new energy revenue milestone signals genuine commitment to the transition mission. SLB has set a documented 30% reduction in Scope 1/2 emissions by end of 2025, and the ChampionX acquisition advances ESG capabilities [1]. However, the company remains heavily fossil-fuel dependent, and community investment programs are focused on supplier diversity rather than transformative philanthropy.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SLB delivered $35.71B in 2025 revenue (-2% YoY) with $4.11B in free cash flow and $2.93 EPS (ex-charges) [1]. The company committed to returning $4B+ to shareholders in 2026, with a 3.5% quarterly dividend increase to $0.295/share [1]. D/E ratio is moderate for an industrial company. Forward P/E is reasonable for an energy technology leader. The dividend has been paid consistently, supporting the Dividend sleeve — SLB has paid dividends for 15+ consecutive years with recent growth. Revenue growth turned negative in 2025 due to oilfield activity moderation, partially offsetting the strong profitability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SLB's 2022 rebranding — voluntarily walking away from the 'Schlumberger oilfield services' identity to become an 'energy technology company' — is a textbook act of Existential Flexibility in service of a Just Cause. CEO Le Peuch's seven-year tenure and the $10B new energy revenue target by 2040 reflect genuine long-horizon strategic thinking, and the company is investing in carbon capture and geothermal before these markets have proven commercial returns.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SLB's evolving Just Cause — 'unlocking access to energy for the benefit of all' while decarbonizing the energy system — reflects genuine strategic intentionality [2]. The new energy businesses (carbon capture, geothermal, critical minerals) demonstrate commitment to the energy transition even when it means investing before markets are proven.</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SLB has one of the most diverse, multinational workforces in the industrial sector — operating in 100+ countries with deep local expertise. CEO Le Peuch's seven-year tenure and the company's history of promoting from within (Peuch has been at SLB for decades) reflect organizational trust and continuity. The rebranding was managed without major cultural disruption.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SLB explicitly benchmarks against Halliburton, Baker Hughes, and emerging technology-focused energy service companies. The digital pivot was partly inspired by recognition that technology companies would disrupt legacy field services if incumbents didn't adapt — a worthy-rival mindset in practice.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2022 rebranding and pivot from oilfield services to energy technology, combined with the ChampionX acquisition for production chemistry and the $1B+ new energy revenue, represent genuine existential flexibility. SLB is deliberately eroding its legacy identity while building a new one — exactly what Sinek describes.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Investing in carbon capture and geothermal before proven commercial returns, and voluntarily rebranding away from the world-famous 'Schlumberger' identity, both required institutional courage. However, the company's core fossil fuel services remain the vast majority of revenue, suggesting courage is bounded by financial pragmatism.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SLB is a high-quality energy technology company trading at 13.5x forward P/E — a discount to the broader market despite digital segment EBITDA margins of 32.7% and nearly $3B in annual digital revenue [1]. The ChampionX acquisition is expected to add $400M in annual pretax synergies within 3 years and be accretive to margins and EPS in 2026 [1]. The company is committed to $4B+ in shareholder returns in 2026, and the dividend yield of 2.9% with a modest payout ratio of 40% provides income stability. The 'International Renaissance' — global exploration returning to offshore and conventional reservoirs — directly benefits SLB's international business.</w:t>
      </w:r>
    </w:p>
    <w:p>
      <w:pPr>
        <w:spacing w:after="120"/>
      </w:pPr>
      <w:r>
        <w:rPr>
          <w:rFonts w:ascii="Calibri" w:hAnsi="Calibri"/>
          <w:b w:val="0"/>
          <w:color w:val="3A4A28"/>
          <w:sz w:val="20"/>
        </w:rPr>
        <w:t>The primary risk is oilfield activity cyclicality: 2025 full-year revenue declined 2%, and any global recession or sustained oil price weakness below $60/bbl could reduce upstream customer spending and compress SLB's revenue and margins. The company's heavy exposure to international markets (&gt;75% of revenue) introduces geopolitical risk across Latin America, Middle East, and Africa [2]. The digital business remains less than 10% of total revenue — the transformation to energy technology company is real but incomplete, and traditional field services margin compression is the near-term headwind.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ChampionX integration delivering $400M in annual synergies by 2028, with 2026 EPS accretion providing near-term positive earnings revision [1]</w:t>
      </w:r>
    </w:p>
    <w:p>
      <w:pPr>
        <w:spacing w:before="40" w:after="40"/>
        <w:ind w:left="283"/>
      </w:pPr>
      <w:r>
        <w:rPr>
          <w:rFonts w:ascii="Calibri" w:hAnsi="Calibri"/>
          <w:b/>
          <w:color w:val="4A6B25"/>
          <w:sz w:val="20"/>
        </w:rPr>
        <w:t xml:space="preserve">2. </w:t>
      </w:r>
      <w:r>
        <w:rPr>
          <w:rFonts w:ascii="Calibri" w:hAnsi="Calibri"/>
          <w:b w:val="0"/>
          <w:color w:val="3A4A28"/>
          <w:sz w:val="20"/>
        </w:rPr>
        <w:t>Digital &amp; Integration segment ARR growing from $926M toward $1.5B — each incremental ARR dollar is worth 5-7x revenue multiple versus traditional field services at 1-2x [1]</w:t>
      </w:r>
    </w:p>
    <w:p>
      <w:pPr>
        <w:spacing w:before="40" w:after="40"/>
        <w:ind w:left="283"/>
      </w:pPr>
      <w:r>
        <w:rPr>
          <w:rFonts w:ascii="Calibri" w:hAnsi="Calibri"/>
          <w:b/>
          <w:color w:val="4A6B25"/>
          <w:sz w:val="20"/>
        </w:rPr>
        <w:t xml:space="preserve">3. </w:t>
      </w:r>
      <w:r>
        <w:rPr>
          <w:rFonts w:ascii="Calibri" w:hAnsi="Calibri"/>
          <w:b w:val="0"/>
          <w:color w:val="3A4A28"/>
          <w:sz w:val="20"/>
        </w:rPr>
        <w:t>International oilfield activity recovery: offshore and conventional exploration spending returning to 2019 levels would add $2-3B to SLB's revenue at high incremental margins given the fixed-cost digital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Oilfield services cyclicality: full-year 2025 revenue already declined 2% — sustained oil price below $60/bbl could accelerate spending cuts by national oil companies and IOCs, compressing SLB's earnings by 15-25% [1]</w:t>
      </w:r>
    </w:p>
    <w:p>
      <w:pPr>
        <w:spacing w:before="40" w:after="40"/>
        <w:ind w:left="283"/>
      </w:pPr>
      <w:r>
        <w:rPr>
          <w:rFonts w:ascii="Calibri" w:hAnsi="Calibri"/>
          <w:b/>
          <w:color w:val="4A6B25"/>
          <w:sz w:val="20"/>
        </w:rPr>
        <w:t xml:space="preserve">2. </w:t>
      </w:r>
      <w:r>
        <w:rPr>
          <w:rFonts w:ascii="Calibri" w:hAnsi="Calibri"/>
          <w:b w:val="0"/>
          <w:color w:val="3A4A28"/>
          <w:sz w:val="20"/>
        </w:rPr>
        <w:t>Digital business monetization timeline: Lumi, Tela, and Delfi are compelling but ARR of $926M is modest relative to $35B in total revenue — the technology transformation may take another 5-10 years to fully shift SLB's margin profile [1]</w:t>
      </w:r>
    </w:p>
    <w:p>
      <w:pPr>
        <w:spacing w:before="40" w:after="40"/>
        <w:ind w:left="283"/>
      </w:pPr>
      <w:r>
        <w:rPr>
          <w:rFonts w:ascii="Calibri" w:hAnsi="Calibri"/>
          <w:b/>
          <w:color w:val="4A6B25"/>
          <w:sz w:val="20"/>
        </w:rPr>
        <w:t xml:space="preserve">3. </w:t>
      </w:r>
      <w:r>
        <w:rPr>
          <w:rFonts w:ascii="Calibri" w:hAnsi="Calibri"/>
          <w:b w:val="0"/>
          <w:color w:val="3A4A28"/>
          <w:sz w:val="20"/>
        </w:rPr>
        <w:t>Fossil fuel concentration creates ESG headwinds: institutional investors with strict decarbonization mandates may underweight SLB despite its new energy efforts, creating a structural valuation discount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SLB's core business — providing specialized oilfield services, subsurface imaging, and drilling technology — requires deep physical-world expertise and proprietary tools that AI cannot replace [2]. In fact, SLB IS an AI provider for the energy industry, with Delfi, Lumi, and Tela generating nearly $3B in digital-related annual revenue and delivering documented efficiency improvements [2]. The company is building AI infrastructure for energy companies (data center solutions now at $1B+ revenue) — analogous to ExxonMobil, the AI boom increases demand for SLB's energy services. CEO Le Peuch explicitly describes AI as 'the X factor for our industry'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SLB Q4 and Full Year 2025 Earnings Release, January 23, 2026</w:t>
      </w:r>
    </w:p>
    <w:p>
      <w:pPr>
        <w:spacing w:before="20" w:after="20"/>
        <w:ind w:left="170"/>
      </w:pPr>
      <w:r>
        <w:rPr>
          <w:rFonts w:ascii="Calibri" w:hAnsi="Calibri"/>
          <w:b/>
          <w:color w:val="4A6B25"/>
          <w:sz w:val="15"/>
        </w:rPr>
        <w:t xml:space="preserve">2. </w:t>
      </w:r>
      <w:r>
        <w:rPr>
          <w:rFonts w:ascii="Calibri" w:hAnsi="Calibri"/>
          <w:b w:val="0"/>
          <w:color w:val="3A4A28"/>
          <w:sz w:val="17"/>
        </w:rPr>
        <w:t>FinancialContent — The Global Energy Architect: A Deep-Dive Analysis of SLB in 2026, March 20, 2026</w:t>
      </w:r>
    </w:p>
    <w:p>
      <w:pPr>
        <w:spacing w:before="20" w:after="20"/>
        <w:ind w:left="170"/>
      </w:pPr>
      <w:r>
        <w:rPr>
          <w:rFonts w:ascii="Calibri" w:hAnsi="Calibri"/>
          <w:b/>
          <w:color w:val="4A6B25"/>
          <w:sz w:val="15"/>
        </w:rPr>
        <w:t xml:space="preserve">3. </w:t>
      </w:r>
      <w:r>
        <w:rPr>
          <w:rFonts w:ascii="Calibri" w:hAnsi="Calibri"/>
          <w:b w:val="0"/>
          <w:color w:val="3A4A28"/>
          <w:sz w:val="17"/>
        </w:rPr>
        <w:t>Fortune — How SLB Is Navigating the Fossil Fuels Backlash and ESG, December 2023</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