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SLDB</w:t>
      </w:r>
      <w:r>
        <w:rPr>
          <w:rFonts w:ascii="Calibri" w:hAnsi="Calibri"/>
          <w:b/>
          <w:color w:val="1A2010"/>
          <w:sz w:val="40"/>
        </w:rPr>
        <w:t xml:space="preserve">  Solid Biosciences Inc.</w:t>
      </w:r>
    </w:p>
    <w:p>
      <w:pPr>
        <w:spacing w:after="120"/>
      </w:pPr>
      <w:r>
        <w:rPr>
          <w:rFonts w:ascii="Calibri" w:hAnsi="Calibri"/>
          <w:b/>
          <w:color w:val="6E8450"/>
          <w:sz w:val="18"/>
        </w:rPr>
        <w:t>GROWTH SLEEVE · 2026-04-28 · Inspire: -62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Solid Biosciences Inc. is a precision genetic medicine company focused on developing therapies for neuromuscular and cardiac diseases. The company's lead product candidate is SGT-003, an AAV-based gene therapy in Phase 1/2 clinical trials for Duchenne muscular dystrophy (DMD). Additional pipeline programs include SGT-212 for Friedreich's ataxia (Phase 1b), SGT-501 for catecholaminergic polymorphic ventricular tachycardia (CPVT), and next-generation capsid AAV-SLB101 for expanded access.</w:t>
      </w:r>
    </w:p>
    <w:p>
      <w:r>
        <w:rPr>
          <w:rFonts w:ascii="Calibri" w:hAnsi="Calibri"/>
          <w:b/>
          <w:color w:val="6E8450"/>
          <w:sz w:val="18"/>
        </w:rPr>
        <w:t>121 Employees · https://www.solidbio.com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Solid Biosciences has evolved its gene therapy approach over the past five years, pivoting from its first-generation SGT-001 program (which faced clinical holds and safety concerns) to SGT-003, a next-generation microdystrophin gene therapy with improved design [1]. This represents a meaningful but incremental pivot within the same therapeutic modality. AI Deployment (0/2): There is no evidence of Solid Biosciences deploying AI-powered products or reporting AI-driven cost savings; the company operates as a traditional clinical-stage biotech focused on gene therapy development [2]. Market Share (1/2): Solid Biosciences is a meaningful player in the Duchenne muscular dystrophy gene therapy space, competing against Sarepta Therapeutics (which has FDA-approved Elevidys) and other gene therapy developers, though it does not hold a leadership position yet [1]. Product Pipeline (2/2): The pipeline is well-defined with specific clinical programs: SGT-003 for DMD (Phase 1/2), SGT-212 for Friedreich's ataxia (Phase 1b), SGT-501 for CPVT, and next-generation capsid AAV-SLB101, providing clear development timelines across multiple indications [1]. R&amp;D Intensity (0/1): As a pre-revenue biotech, essentially 100% of spending is R&amp;D, but this is standard for the stage rather than reflecting above-peer investment intensity.</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Solid Biosciences' mission is deeply purpose-driven — the company was founded by Ilan Ganot, whose son was diagnosed with Duchenne muscular dystrophy, making the mission to cure DMD personal, specific, and distinctive [2]. This is not a corporate platitude; the company exists because a father wanted to save his child. The mission clearly connects the company's work to a larger purpose and differentiates it from generic biotech purpose statements. Community Impact (1/2): Solid Biosciences sponsors the SADS Foundation symposium supporting genetic heart rhythm research and maintains engagement with the DMD patient community through expanded access programs and disease awareness initiatives [3]. Employee Retention (1/2): The leadership team shows reasonable stability with promotions from within (Joel Schneider promoted to COO) and strategic external hires (Erin Powers Brennan as CLO), suggesting a functional culture for a 121-person clinical-stage company [2]. Insider Buying (1/2): The company completed an oversubscribed $240M private placement, suggesting strong institutional conviction in the pipeline, though specific insider buying data from executives is limited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Solid Biosciences' financial profile reflects its status as a pre-revenue, clinical-stage biotech burning cash to advance its pipeline. The company has zero revenue — total revenue was $0 in both 2024 and 2025 — with net losses expanding from -$125M in 2024 to -$174M in 2025 as clinical programs scale [4]. D/E of 11.8% is extremely low, reflecting a debt-light balance sheet funded primarily by equity issuances including the recent $240M private placement [1]. However, ROE of -110% reflects the sustained cash burn, Forward P/E is negative (unprofitable), and profit margin is 0% [4]. The growth stock Infrastructure calculation scores only on available metrics: D/E scores perfectly (1.0) while ROE, Forward P/E, and Profit Margin all score 0.0, yielding an Infrastructure score of 2/10. Liquidity floor cleared: 1.31M avg volume x $7.50 = $9.8M daily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Solid Biosciences exemplifies mission-driven company building — founded by a father seeking to cure his son's Duchenne muscular dystrophy, the company's Just Cause is deeply personal and authentic. The pivot from first-generation SGT-001 to SGT-003 demonstrated willingness to abandon a failing approach in service of the mission. However, the company is young and has not yet proven it can endure through the decades-long tests that distinguish infinite players.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Solid Biosciences' cause — curing Duchenne muscular dystrophy — is genuine, specific, and deeply personal to co-founder Ilan Ganot, whose son was diagnosed with DMD [2]. This is not a corporate mission statement; it's an existential drive that predates the company's founding and has shaped every strategic decision. The cause is inclusive (patients, families, researchers), service-oriented (benefits others beyond the company), and idealistic (a cure for DMD does not yet exist). However, it hasn't been validated by decades of execution yet, as the company was founded in 2013 and has not yet brought a product to market. Score: 2 weighted points.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promotion of Joel Schneider to COO from within the organization and strategic external hires suggest a functional culture that values internal talent [2]. With only 121 employees, Solid Biosciences operates as a tightly knit team where trust is essential for a clinical-stage company running multiple programs across rare disease indications. However, specific data on employee retention, turnover, or cultural practices is not publicly available for this small company. Score: 1 weighted point.</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Solid Biosciences competes against Sarepta Therapeutics (Elevidys is FDA-approved for DMD) without framing competition in zero-sum terms. The company's focus on developing a differentiated microdystrophin approach with SGT-003 reflects a mindset of improving on existing approaches rather than destroying competitors [1]. The existence of Sarepta's approved therapy validates the gene therapy approach for DMD, which benefits all players in the space. Score: 1 weighted point.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pivot from SGT-001 to SGT-003 represents a meaningful strategic shift — abandoning the company's lead program and rebuilding around a next-generation approach. The expansion from DMD-only to a multi-indication pipeline including Friedreich's ataxia and cardiac diseases shows willingness to broaden the mission in service of the broader cause of curing genetic neuromuscular and cardiac diseases [1]. These are incremental evolutions within the same therapeutic modality rather than transformative pivots. Score: 1 weighted point.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Solid Biosciences demonstrated courage by abandoning its first-generation SGT-001 gene therapy program after clinical holds and safety concerns, pivoting to SGT-003 with an improved microdystrophin design rather than continuing to push a compromised program [1]. This pivot required acknowledging failure publicly and investing significant capital in a new approach. The company has also expanded into cardiac indications (SGT-501 for CPVT) despite being a small team of 121, showing willingness to stretch beyond the safe core. Score: 1 weighted point.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Solid Biosciences offers high-risk, high-reward exposure to the gene therapy revolution in rare disease. The company's lead candidate SGT-003 is in Phase 1/2 for Duchenne muscular dystrophy, a devastating genetic disease with limited treatment options, while the pipeline includes SGT-212 for Friedreich's ataxia (Phase 1b) and SGT-501 for CPVT [1]. The $240M oversubscribed private placement provides a cash runway to advance multiple programs, and the next-generation capsid AAV-SLB101 could unlock expanded access to additional indications [1]. Analyst consensus price target of ~$13 represents ~73% upside from the current $7.50 price, with HC Wainwright projecting improving EPS trajectory for FY2026 [1]. The mission-driven founding story and deeply personal Just Cause differentiate SLDB from purely financially motivated biotechs.</w:t>
      </w:r>
    </w:p>
    <w:p>
      <w:pPr>
        <w:spacing w:after="120"/>
      </w:pPr>
      <w:r>
        <w:rPr>
          <w:rFonts w:ascii="Calibri" w:hAnsi="Calibri"/>
          <w:b w:val="0"/>
          <w:color w:val="3A4A28"/>
          <w:sz w:val="20"/>
        </w:rPr>
        <w:t>The bear case is substantial for a pre-revenue clinical-stage biotech. Net losses expanded 40% from -$125M in 2024 to -$174M in 2025 with zero revenue, and the company will need to continue raising capital through dilutive equity offerings to fund operations [4]. Sarepta's FDA-approved Elevidys already has first-mover advantage in DMD gene therapy, and SGT-003 must demonstrate superiority or meaningful differentiation to carve out commercial share [1]. Gene therapy development carries inherent binary risk — clinical trial failures, manufacturing challenges, and FDA regulatory setbacks could render the pipeline worthless. The Inspire Impact score of -62 reflects embryonic stem cell involvement that may concern faith-based investors [3]. At a $738M market cap with no revenue or path to near-term profitability, SLDB is a speculative position that requires high conviction in the clinical data readouts ahead.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SGT-003 Phase 1/2 clinical data readouts for Duchenne muscular dystrophy, which could validate the next-generation microdystrophin approach and drive significant stock re-rating [1]</w:t>
      </w:r>
    </w:p>
    <w:p>
      <w:pPr>
        <w:spacing w:before="40" w:after="40"/>
        <w:ind w:left="283"/>
      </w:pPr>
      <w:r>
        <w:rPr>
          <w:rFonts w:ascii="Calibri" w:hAnsi="Calibri"/>
          <w:b/>
          <w:color w:val="4A6B25"/>
          <w:sz w:val="20"/>
        </w:rPr>
        <w:t xml:space="preserve">2. </w:t>
      </w:r>
      <w:r>
        <w:rPr>
          <w:rFonts w:ascii="Calibri" w:hAnsi="Calibri"/>
          <w:b w:val="0"/>
          <w:color w:val="3A4A28"/>
          <w:sz w:val="20"/>
        </w:rPr>
        <w:t>Pipeline expansion with SGT-212 (Friedreich's ataxia Phase 1b) and SGT-501 (CPVT) broadening the addressable market beyond DMD into cardiac and other neuromuscular diseases [1]</w:t>
      </w:r>
    </w:p>
    <w:p>
      <w:pPr>
        <w:spacing w:before="40" w:after="40"/>
        <w:ind w:left="283"/>
      </w:pPr>
      <w:r>
        <w:rPr>
          <w:rFonts w:ascii="Calibri" w:hAnsi="Calibri"/>
          <w:b/>
          <w:color w:val="4A6B25"/>
          <w:sz w:val="20"/>
        </w:rPr>
        <w:t xml:space="preserve">3. </w:t>
      </w:r>
      <w:r>
        <w:rPr>
          <w:rFonts w:ascii="Calibri" w:hAnsi="Calibri"/>
          <w:b w:val="0"/>
          <w:color w:val="3A4A28"/>
          <w:sz w:val="20"/>
        </w:rPr>
        <w:t>Next-generation capsid AAV-SLB101 development providing expanded tissue access that could improve gene therapy efficacy across multiple indications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Binary clinical trial risk — SGT-003 Phase 1/2 data could disappoint on efficacy or reveal safety signals that derail the lead program, as occurred with the predecessor SGT-001 program [1]</w:t>
      </w:r>
    </w:p>
    <w:p>
      <w:pPr>
        <w:spacing w:before="40" w:after="40"/>
        <w:ind w:left="283"/>
      </w:pPr>
      <w:r>
        <w:rPr>
          <w:rFonts w:ascii="Calibri" w:hAnsi="Calibri"/>
          <w:b/>
          <w:color w:val="4A6B25"/>
          <w:sz w:val="20"/>
        </w:rPr>
        <w:t xml:space="preserve">2. </w:t>
      </w:r>
      <w:r>
        <w:rPr>
          <w:rFonts w:ascii="Calibri" w:hAnsi="Calibri"/>
          <w:b w:val="0"/>
          <w:color w:val="3A4A28"/>
          <w:sz w:val="20"/>
        </w:rPr>
        <w:t>Sustained cash burn with zero revenue (-$174M net loss in 2025) requiring continued dilutive capital raises that pressure existing shareholders [4]</w:t>
      </w:r>
    </w:p>
    <w:p>
      <w:pPr>
        <w:spacing w:before="40" w:after="40"/>
        <w:ind w:left="283"/>
      </w:pPr>
      <w:r>
        <w:rPr>
          <w:rFonts w:ascii="Calibri" w:hAnsi="Calibri"/>
          <w:b/>
          <w:color w:val="4A6B25"/>
          <w:sz w:val="20"/>
        </w:rPr>
        <w:t xml:space="preserve">3. </w:t>
      </w:r>
      <w:r>
        <w:rPr>
          <w:rFonts w:ascii="Calibri" w:hAnsi="Calibri"/>
          <w:b w:val="0"/>
          <w:color w:val="3A4A28"/>
          <w:sz w:val="20"/>
        </w:rPr>
        <w:t>Competitive disadvantage to Sarepta's first-mover Elevidys approval in DMD gene therapy, requiring SLDB to demonstrate clear clinical superiority to gain market share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Gene therapy development is a deeply physical, biological, and regulatory process that AI cannot replicate or displace. Solid Biosciences' core value creation — designing AAV vectors, manufacturing gene therapies, conducting clinical trials, and navigating FDA regulatory pathways — requires wet-lab biology, patient-level clinical data, and regulatory expertise that have high barriers to AI substitution [1]. The drug development process is governed by FDA requirements that mandate physical clinical trials regardless of computational advances. However, AI-enabled drug discovery companies could eventually compress timelines for competing therapies, and AI could improve rival companies' target identification and clinical trial design, creating indirect competitive pressure. AI Opportunity (1/1): While Solid Biosciences itself does not generate AI revenue, the broader gene therapy and rare disease space is increasingly using AI for capsid engineering, gene expression optimization, and patient identification — areas where SLDB's next-generation capsid AAV-SLB101 development could benefit from computational design approaches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-62</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Embryonic Stem Cells </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Solid Biosciences 2026 Outlook — pipeline update including SGT-003 (DMD Phase 1/2), SGT-212 (FA Phase 1b), SGT-501 (CPVT), AAV-SLB101 capsid; $240M oversubscribed private placement; analyst consensus and HC Wainwright estimates, 2025-2026</w:t>
      </w:r>
    </w:p>
    <w:p>
      <w:pPr>
        <w:spacing w:before="20" w:after="20"/>
        <w:ind w:left="170"/>
      </w:pPr>
      <w:r>
        <w:rPr>
          <w:rFonts w:ascii="Calibri" w:hAnsi="Calibri"/>
          <w:b/>
          <w:color w:val="4A6B25"/>
          <w:sz w:val="15"/>
        </w:rPr>
        <w:t xml:space="preserve">2. </w:t>
      </w:r>
      <w:r>
        <w:rPr>
          <w:rFonts w:ascii="Calibri" w:hAnsi="Calibri"/>
          <w:b w:val="0"/>
          <w:color w:val="3A4A28"/>
          <w:sz w:val="17"/>
        </w:rPr>
        <w:t>Solid Biosciences leadership — co-founder Ilan Ganot (personal DMD mission), Bo Cumbo (CEO), Joel Schneider promoted to COO, Erin Powers Brennan as CLO; company management page, 2025-2026</w:t>
      </w:r>
    </w:p>
    <w:p>
      <w:pPr>
        <w:spacing w:before="20" w:after="20"/>
        <w:ind w:left="170"/>
      </w:pPr>
      <w:r>
        <w:rPr>
          <w:rFonts w:ascii="Calibri" w:hAnsi="Calibri"/>
          <w:b/>
          <w:color w:val="4A6B25"/>
          <w:sz w:val="15"/>
        </w:rPr>
        <w:t xml:space="preserve">3. </w:t>
      </w:r>
      <w:r>
        <w:rPr>
          <w:rFonts w:ascii="Calibri" w:hAnsi="Calibri"/>
          <w:b w:val="0"/>
          <w:color w:val="3A4A28"/>
          <w:sz w:val="17"/>
        </w:rPr>
        <w:t>Solid Biosciences community engagement — SADS Foundation symposium sponsorship for genetic heart rhythm research; Morningstar sustainability overview, 2025-2026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SLDB (Solid Biosciences Inc.), retrieved April 28,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