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SLGB</w:t>
      </w:r>
      <w:r>
        <w:rPr>
          <w:rFonts w:ascii="Calibri" w:hAnsi="Calibri"/>
          <w:b/>
          <w:color w:val="1A2010"/>
          <w:sz w:val="40"/>
        </w:rPr>
        <w:t xml:space="preserve">  Smart Logistics Global Limited</w:t>
      </w:r>
    </w:p>
    <w:p>
      <w:pPr>
        <w:spacing w:after="120"/>
      </w:pPr>
      <w:r>
        <w:rPr>
          <w:rFonts w:ascii="Calibri" w:hAnsi="Calibri"/>
          <w:b/>
          <w:color w:val="6E8450"/>
          <w:sz w:val="18"/>
        </w:rPr>
        <w:t>GROWTH SLEEVE · 2026-04-09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Hong Kong</w:t>
      </w:r>
    </w:p>
    <w:p>
      <w:pPr>
        <w:spacing w:after="80"/>
      </w:pPr>
      <w:r>
        <w:rPr>
          <w:rFonts w:ascii="Calibri" w:hAnsi="Calibri"/>
          <w:b w:val="0"/>
          <w:color w:val="3A4A28"/>
          <w:sz w:val="20"/>
        </w:rPr>
        <w:t>Smart Logistics Global provides B2B contract logistics solutions specializing in industrial raw materials line-haul transportation in China. The company serves paper, steel, coal, and food sectors through its smart logistics digital ecosystem, leveraging a network of registered truckers and a 110,000-square-meter smart facility.</w:t>
      </w:r>
    </w:p>
    <w:p>
      <w:r>
        <w:rPr>
          <w:rFonts w:ascii="Calibri" w:hAnsi="Calibri"/>
          <w:b/>
          <w:color w:val="6E8450"/>
          <w:sz w:val="18"/>
        </w:rPr>
        <w:t>72 Employees · https://www.smartlogisticsglobal.com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SLGB completed its Nasdaq IPO in October 2025 raising $5M, marking its first major corporate milestone, but the core business — B2B line-haul trucking in China — has not meaningfully changed since founding in 2017 [1][2]. Revenue declined from RMB818.8M (2021) to RMB678.2M (2024) before a modest H1 2025 recovery of 11.4% [2]. AI Deployment (0/2): No evidence of AI-powered products or quantified AI-driven efficiency gains; the company references a 'smart logistics digital ecosystem' but provides no specifics on AI implementation or results [2]. Market Share (1/2): SLGB operates in the fragmented Chinese trucking logistics market with over 15,000 registered truckers in its network, giving it a meaningful regional presence but no category leadership [2]. Pipeline (1/2): The company's 110,000-sqm smart facility investment and expansion of trucker network show some growth ambitions, though no specific next-gen products or timelines have been disclosed [2]. R&amp;D Intensity (0/1): With only 72 employees and a $36M market cap, R&amp;D spending is minimal and below industry norms for logistics technology companies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SLGB's stated focus on building a 'smart logistics digital ecosystem for road transport' is functional but generic — it describes what the company does rather than articulating a deeper purpose or vision for transforming the logistics industry [2]. Community Impact (0/2): No evidence of charitable programs, community investment, or corporate philanthropy beyond basic operations [2]. Employee Retention (0/2): With only 72 employees and no publicly available retention or culture data, there is insufficient evidence to assess whether employees stay for the mission [3]. Insider Buying (1/2): CEO Hue Kwok Chiu controls approximately 97.6% of voting power through a 40M-share indirect stake, demonstrating significant personal alignment with the company's fortunes, though this is founder concentration rather than open-market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SLGB's financial profile is mixed. Low D/E of 26.7% reflects conservative leverage for a logistics company [3]. ROE of 9.8% is below the 15% target, and profit margin of just 1.85% indicates the extremely thin margins typical of Chinese trucking logistics [3]. H1 2025 revenue grew 11.4% YoY with gross margin improving from 3.1% to 5.3%, showing operational improvement [2]. However, the 3-year revenue CAGR is negative (-6.1%) reflecting a secular decline from 2021-2024 [3]. No forward P/E or PEG available due to lack of analyst coverage. Market cap of just $36M and 72 employees make this a micro-cap with limited financial durability. Liquidity floor cleared at $2.9M daily (3.3M avg vol × $0.87)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SLGB is a small, recently-IPO'd Chinese logistics company that is playing primarily to survive and grow rather than pursuing a transformative vision. The company's IPO appears motivated by capital needs rather than a broader purpose, and there is no evidence of infinite game thinking in leadership communications.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SLGB lacks a Just Cause. The company exists to provide trucking logistics services in China — a functional business purpose but not a vision of a better future that inspires sacrifice [2]. CEO Hue Kwok Chiu's public statements focus on business expansion and trucker network growth rather than articulating why the company matters beyond profit. The Nasdaq IPO was a capital-raising event, not a mission milestone.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72 employees, SLGB operates at a scale where trust is interpersonal rather than organizational. The company has maintained stable operations through a multi-year revenue decline without reported layoffs or restructuring, suggesting adequate team stability [3]. However, no Glassdoor reviews, employee satisfaction data, or cultural evidence exists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SLGB operates in China's fragmented trucking market alongside Full Truck Alliance (the dominant digital freight platform) and thousands of regional competitors. There is no evidence in public communications that management frames competition in terms of learning or self-improvement rather than market survival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SLGB has not demonstrated existential flexibility. The company has operated the same B2B line-haul trucking model since 2017 with no significant pivots or business model evolution [2]. The 'smart logistics digital ecosystem' branding suggests incremental digitization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decisions. The company pursued a modest $5M Nasdaq IPO in October 2025 during a period of declining revenues, which could be interpreted as either resourceful capital raising or a survival move [1]. No examples of leadership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 Logistics Global is a micro-cap Chinese B2B logistics company that recently listed on Nasdaq (October 2025) and is showing early signs of operational improvement. H1 2025 revenue grew 11.4% to RMB332.8M with gross margin expanding from 3.1% to 5.3%, suggesting pricing power and efficiency gains are taking hold [2]. The company's network of 15,000+ registered truckers and 110,000-sqm smart facility provide a foundation for scaling in China's massive and fragmented trucking market [2]. At a $36M market cap with 17.4x trailing P/E, the stock is inexpensive if the margin expansion trend continues and revenue growth reaccelerates beyond the H1 pace.</w:t>
      </w:r>
    </w:p>
    <w:p>
      <w:pPr>
        <w:spacing w:after="120"/>
      </w:pPr>
      <w:r>
        <w:rPr>
          <w:rFonts w:ascii="Calibri" w:hAnsi="Calibri"/>
          <w:b w:val="0"/>
          <w:color w:val="3A4A28"/>
          <w:sz w:val="20"/>
        </w:rPr>
        <w:t>The bear case is substantial. Revenue declined from RMB818.8M in 2021 to RMB678.2M in 2024, a -6.1% 3-year CAGR that suggests structural headwinds in China's industrial logistics sector [3]. Profit margins are razor-thin at 1.85%, leaving virtually no room for error. The company has only 72 employees and a $36M market cap — a true micro-cap with minimal institutional following, no analyst coverage, and severe liquidity risk despite technically clearing the $1M daily volume floor [3]. CEO Hue Kwok Chiu's 97.6% voting control creates governance concentration risk [1]. Competition from Full Truck Alliance and other digital freight platforms could commoditize SLGB's intermediary role. China's slowing industrial economy poses macro headwinds for raw materials transportation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gross margin expansion from the 3.1% to 5.3% improvement trajectory, potentially reaching mid-single-digit margins as the smart facility investment drives operational efficiency [2]</w:t>
      </w:r>
    </w:p>
    <w:p>
      <w:pPr>
        <w:spacing w:before="40" w:after="40"/>
        <w:ind w:left="283"/>
      </w:pPr>
      <w:r>
        <w:rPr>
          <w:rFonts w:ascii="Calibri" w:hAnsi="Calibri"/>
          <w:b/>
          <w:color w:val="4A6B25"/>
          <w:sz w:val="20"/>
        </w:rPr>
        <w:t xml:space="preserve">2. </w:t>
      </w:r>
      <w:r>
        <w:rPr>
          <w:rFonts w:ascii="Calibri" w:hAnsi="Calibri"/>
          <w:b w:val="0"/>
          <w:color w:val="3A4A28"/>
          <w:sz w:val="20"/>
        </w:rPr>
        <w:t>China's ongoing infrastructure stimulus spending could boost industrial raw materials transportation volumes, directly benefiting SLGB's core trucking business [2]</w:t>
      </w:r>
    </w:p>
    <w:p>
      <w:pPr>
        <w:spacing w:before="40" w:after="40"/>
        <w:ind w:left="283"/>
      </w:pPr>
      <w:r>
        <w:rPr>
          <w:rFonts w:ascii="Calibri" w:hAnsi="Calibri"/>
          <w:b/>
          <w:color w:val="4A6B25"/>
          <w:sz w:val="20"/>
        </w:rPr>
        <w:t xml:space="preserve">3. </w:t>
      </w:r>
      <w:r>
        <w:rPr>
          <w:rFonts w:ascii="Calibri" w:hAnsi="Calibri"/>
          <w:b w:val="0"/>
          <w:color w:val="3A4A28"/>
          <w:sz w:val="20"/>
        </w:rPr>
        <w:t>Post-IPO capital deployment into technology and network expansion could accelerate trucker onboarding and geographic reach across China's fragmented logistics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from RMB818.8M to RMB678.2M over three years, and the H1 2025 recovery may not sustain if China's industrial economy weakens further [3]</w:t>
      </w:r>
    </w:p>
    <w:p>
      <w:pPr>
        <w:spacing w:before="40" w:after="40"/>
        <w:ind w:left="283"/>
      </w:pPr>
      <w:r>
        <w:rPr>
          <w:rFonts w:ascii="Calibri" w:hAnsi="Calibri"/>
          <w:b/>
          <w:color w:val="4A6B25"/>
          <w:sz w:val="20"/>
        </w:rPr>
        <w:t xml:space="preserve">2. </w:t>
      </w:r>
      <w:r>
        <w:rPr>
          <w:rFonts w:ascii="Calibri" w:hAnsi="Calibri"/>
          <w:b w:val="0"/>
          <w:color w:val="3A4A28"/>
          <w:sz w:val="20"/>
        </w:rPr>
        <w:t>Profit margins of 1.85% provide no buffer against input cost inflation, fuel price spikes, or competitive pricing pressure from larger digital freight platforms [3]</w:t>
      </w:r>
    </w:p>
    <w:p>
      <w:pPr>
        <w:spacing w:before="40" w:after="40"/>
        <w:ind w:left="283"/>
      </w:pPr>
      <w:r>
        <w:rPr>
          <w:rFonts w:ascii="Calibri" w:hAnsi="Calibri"/>
          <w:b/>
          <w:color w:val="4A6B25"/>
          <w:sz w:val="20"/>
        </w:rPr>
        <w:t xml:space="preserve">3. </w:t>
      </w:r>
      <w:r>
        <w:rPr>
          <w:rFonts w:ascii="Calibri" w:hAnsi="Calibri"/>
          <w:b w:val="0"/>
          <w:color w:val="3A4A28"/>
          <w:sz w:val="20"/>
        </w:rPr>
        <w:t>Micro-cap governance risk: CEO controls 97.6% of voting power with minimal institutional oversight, no analyst coverage, and limited public transparency for a $36M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SLGB's core business — physical line-haul trucking of industrial raw materials (steel, paper, coal) in China — is inherently protected from AI substitution. Trucks must physically move heavy goods, and AI cannot replace the physical transportation of bulk commodities [2]. However, AI-enabled logistics platforms (like Manbang/Full Truck Alliance) could erode SLGB's intermediary role by directly matching shippers with truckers more efficiently, creating moderate platform disintermediation risk [1]. The company's small scale (72 employees, $36M market cap) makes it vulnerable to larger AI-equipped competitors. AI Opportunity (1/1): SLGB's 'smart logistics digital ecosystem' platform and trucker network could benefit from AI-driven route optimization, demand forecasting, and fleet management, generating operational efficiencies if properly implemented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SLGB IPO Filing and Nasdaq Debut Coverage — TradingCalendar, October 2025</w:t>
      </w:r>
    </w:p>
    <w:p>
      <w:pPr>
        <w:spacing w:before="20" w:after="20"/>
        <w:ind w:left="170"/>
      </w:pPr>
      <w:r>
        <w:rPr>
          <w:rFonts w:ascii="Calibri" w:hAnsi="Calibri"/>
          <w:b/>
          <w:color w:val="4A6B25"/>
          <w:sz w:val="15"/>
        </w:rPr>
        <w:t xml:space="preserve">2. </w:t>
      </w:r>
      <w:r>
        <w:rPr>
          <w:rFonts w:ascii="Calibri" w:hAnsi="Calibri"/>
          <w:b w:val="0"/>
          <w:color w:val="3A4A28"/>
          <w:sz w:val="17"/>
        </w:rPr>
        <w:t>Smart Logistics Global H1 2025 Earnings Release — 11.4% revenue increase, gross margin expansion to 5.3%, QuiverQuant coverage</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SLGB,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