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SLG</w:t>
      </w:r>
      <w:r>
        <w:rPr>
          <w:rFonts w:ascii="Calibri" w:hAnsi="Calibri"/>
          <w:b/>
          <w:color w:val="1A2010"/>
          <w:sz w:val="40"/>
        </w:rPr>
        <w:t xml:space="preserve">  SL Green Realty Corp.</w:t>
      </w:r>
    </w:p>
    <w:p>
      <w:pPr>
        <w:spacing w:after="120"/>
      </w:pPr>
      <w:r>
        <w:rPr>
          <w:rFonts w:ascii="Calibri" w:hAnsi="Calibri"/>
          <w:b/>
          <w:color w:val="6E8450"/>
          <w:sz w:val="18"/>
        </w:rPr>
        <w:t>DIVIDEND SLEEVE · 2026-04-28 · Inspire: 60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Office · NYSE · United States</w:t>
      </w:r>
    </w:p>
    <w:p>
      <w:pPr>
        <w:spacing w:after="80"/>
      </w:pPr>
      <w:r>
        <w:rPr>
          <w:rFonts w:ascii="Calibri" w:hAnsi="Calibri"/>
          <w:b w:val="0"/>
          <w:color w:val="3A4A28"/>
          <w:sz w:val="20"/>
        </w:rPr>
        <w:t>SL Green Realty Corp. is Manhattan's largest office landlord, a fully integrated real estate investment trust (REIT) that acquires, manages, and repositions commercial office properties in New York City. The company holds interests in approximately 32 million square feet of wholly owned and joint-venture office space across midtown Manhattan.</w:t>
      </w:r>
    </w:p>
    <w:p>
      <w:r>
        <w:rPr>
          <w:rFonts w:ascii="Calibri" w:hAnsi="Calibri"/>
          <w:b/>
          <w:color w:val="6E8450"/>
          <w:sz w:val="18"/>
        </w:rPr>
        <w:t>1,289 Employees · https://slgreen.com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SL Green's primary innovation over the past five years has been the development of One Vanderbilt (completed 2020), a 1.7M sqft trophy tower that set a new standard for Manhattan office development with its observation deck generating substantial ancillary revenue [1]. The company has also pursued 346 Madison Avenue as its next major development. These are significant but incremental within the office REIT model — SL Green hasn't transformed its business model. AI Deployment (1/2): The 346 Madison Avenue project integrates carbon-capture technology and ultra-fast digital infrastructure specifically designed to attract AI-driven tenants, representing a forward-looking approach to building design [2]. SL Green adopted IBM technology to operationalize sustainability initiatives across its portfolio, applying data analytics to building operations [3]. Market Share (1/2): SL Green is Manhattan's largest office landlord by square footage, a meaningful position in the world's premier office market. Q1 2026 saw the largest first-quarter leasing volume in the company's 28-year history — 930,000 sqft with 16% rent mark-to-market increases [1]. Product Pipeline (0/2): Beyond 346 Madison, no specific next-generation developments with revenue timelines have been announced. The pipeline is limited for a company of this scale. R&amp;D Intensity (1/1): Capital expenditure on building improvements, sustainability technology, and repositioning projects is above average for office REITs, reflecting commitment to maintaining portfolio quality.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SL Green's purpose centers on being Manhattan's premier office landlord, creating workspaces that define the New York City skyline and enable commerce. One Vanderbilt's public observation deck and transit connection demonstrate a vision beyond pure rent collection, but the core mission remains transactional — owning and leasing office space. Community Impact (1/2): One Vanderbilt's direct connection to Grand Central Terminal and public observation deck represent meaningful urban contributions. SL Green has invested in sustainability initiatives including compliance with NYC Local Law 97 carbon reduction mandates and adoption of green lease language [3]. The company also emphasizes workforce diversity, though specific charitable dollar amounts are not prominent. Employee Retention (1/2): CEO Marc Holliday has led SL Green since 2004 — over 22 years — providing exceptional leadership continuity [2]. The promotion of Harrison Sitomer to President and CIO indicates internal development of talent. With only 1,289 employees, the organization is lean and leadership stability is a strength. Insider Buying (1/2): No evidence of significant net insider buying in the past 12 months. Executive compensation is heavily equity-based, aligning interests with shareholders, but proactive insider purchases were not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SL Green's infrastructure scores poorly on the mechanical calculation, reflecting REIT-specific financial characteristics that penalize GAAP-based metrics. D/E of 149.8% is elevated but typical for REITs that rely on leverage for returns, scoring 0.65 [4]. ROE of -3.5% and profit margin of -16.2% are both negative due to GAAP depreciation and impairment charges that overstate economic losses in REITs — both score 0 [1]. Forward P/E is negative (expected GAAP losses), scoring 0, though FFO-based valuation of $4.40-$4.70 per share implies ~9.5x FFO which is attractive for an office REIT [1]. Revenue declined 3.6% YoY on a GAAP basis. On the dividend side, SL Green has paid dividends for 29 consecutive years since 1997 (scoring full marks on years paid), but the dividend has been cut from $6.27 per share in 2021 to $2.84 in 2025, resulting in 0 consecutive years of growth and a deeply negative 5yr dividend growth CAGR of -10.5% [4]. Payout ratio of 154% on a GAAP basis exceeds the 100% floor. Liquidity floor cleared: 1.45M avg volume × $42.47 = $61.7M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SL Green demonstrates solid infinite game characteristics anchored by Marc Holliday's 22-year CEO tenure and a consistent focus on being Manhattan's premier office landlord through multiple real estate cycles. The company has shown existential flexibility in pivoting from acquisitions to ground-up development (One Vanderbilt) and repositioning, though its purpose remains fundamentally commercial rather than cause-driven.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SL Green's purpose — shaping Manhattan's skyline and creating premier workspaces — is specific and connects to a larger vision of New York City's vitality. One Vanderbilt's public observation deck and Grand Central Transit connection demonstrate investment in community benefit beyond pure returns. The company's 28-year track record of building and repositioning Manhattan office properties through multiple devastating cycles (9/11, GFC, COVID) validates consistency of purpose. However, the cause is ultimately commercial rather than transformative — SL Green plays to remain Manhattan's top landlord, not to advance a societal ideal. Score: 2 weighted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Marc Holliday's 22-year tenure and the internal promotion of Harrison Sitomer to President and CIO indicate leadership continuity and talent development [2]. SL Green's lean workforce of 1,289 employees operates a $3B+ portfolio, suggesting efficiency and trust in team capabilities. Holliday's stated emphasis on workforce diversity and inclusive workplace reflects intentionality around organizational culture. However, no specific employee retention data, tenure statistics, or cultural distinction metrics are available. Score: 1 weighted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SL Green operates in a market with formidable competitors including Brookfield, Vornado, and Paramount, without adopting combative language. Holliday positions SL Green as Manhattan's quality leader rather than attacking competitors. The company's leasing strategy emphasizes creating the best tenant experience rather than competing on price, and One Vanderbilt's design was influenced by learning from the best global office developments [2].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SL Green has evolved meaningfully from a pure office acquisition REIT to a developer of trophy mixed-use assets, with One Vanderbilt representing a strategic shift toward ground-up development of iconic properties rather than value-add acquisitions [1]. The pivot to designing AI-ready buildings at 346 Madison shows ongoing adaptation. The company has also navigated the post-COVID office crisis by doubling down on premium Manhattan assets while disposing of non-core holdings. These adaptations are incremental within the REIT framework rather than truly transformative pivots.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SL Green demonstrated meaningful courage by committing to One Vanderbilt — a $3.3B ground-up development — during a period of skepticism about new Manhattan office supply, delivering it during COVID when the office market was in crisis [1]. The company maintained its dividend through the pandemic (albeit later cutting it) and continued investing in building repositioning when peers retreated. However, the persistent dividend cuts from $6.27 to $2.84 per share over four years suggest financial constraint rather than strategic courage, and the company has not made a truly cause-driven sacrifice.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SL Green offers deep value exposure to a Manhattan office recovery. Q1 2026 leasing volume of 930,000 sqft was the largest first quarter in the company's 28-year history, with 16% rent mark-to-market increases signaling genuine demand recovery for trophy Manhattan offices [1]. FFO guidance of $4.40-$4.70 per share implies a 9.5x FFO multiple at the current $42.47 share price — well below the 15-year average for office REITs — and management projects 10%+ same-store cash NOI growth in 2027 [1]. At a 6.3% dividend yield and with Manhattan's tightest office availability rate in years driving positive leasing spreads, SL Green provides attractive income with upside optionality if the post-COVID office recovery continues to gain momentum.</w:t>
      </w:r>
    </w:p>
    <w:p>
      <w:pPr>
        <w:spacing w:after="120"/>
      </w:pPr>
      <w:r>
        <w:rPr>
          <w:rFonts w:ascii="Calibri" w:hAnsi="Calibri"/>
          <w:b w:val="0"/>
          <w:color w:val="3A4A28"/>
          <w:sz w:val="20"/>
        </w:rPr>
        <w:t>The bear case centers on structural headwinds to office demand and financial fragility. GAAP losses of $1.20 per share in Q1 2026 (missing estimates of -$0.76) reflect ongoing depreciation, impairment, and interest expense burdens on a highly leveraged balance sheet with 150% D/E [1][4]. The dividend has been cut 55% from its 2021 peak of $6.27 to $2.84 per share, and the GAAP payout ratio of 154% suggests the current dividend may not be sustainable without FFO support. Remote and hybrid work remain structural threats — even as trophy buildings see recovery, overall Manhattan office vacancy rates remain elevated compared to pre-COVID levels. AI-driven productivity improvements could further reduce office space demand per employee over the medium term. Interest rate sensitivity is acute: SL Green's leveraged model means higher-for-longer rates directly compress FFO and limit financial flexibility for development projects like 346 Madison [4]. The stock's decline from a $66.91 52-week high to $42.47 reflects market skepticism about the pace and sustainability of the office recovery.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Q1 2026 leasing volume of 930,000 sqft with 16% rent mark-to-market increases, signaling Manhattan's premier office market is recovering faster than national averages [1]</w:t>
      </w:r>
    </w:p>
    <w:p>
      <w:pPr>
        <w:spacing w:before="40" w:after="40"/>
        <w:ind w:left="283"/>
      </w:pPr>
      <w:r>
        <w:rPr>
          <w:rFonts w:ascii="Calibri" w:hAnsi="Calibri"/>
          <w:b/>
          <w:color w:val="4A6B25"/>
          <w:sz w:val="20"/>
        </w:rPr>
        <w:t xml:space="preserve">2. </w:t>
      </w:r>
      <w:r>
        <w:rPr>
          <w:rFonts w:ascii="Calibri" w:hAnsi="Calibri"/>
          <w:b w:val="0"/>
          <w:color w:val="3A4A28"/>
          <w:sz w:val="20"/>
        </w:rPr>
        <w:t>Management's 10%+ same-store cash NOI growth target for 2027, driven by lease mark-to-market roll-ups and occupancy gains across the trophy portfolio [1]</w:t>
      </w:r>
    </w:p>
    <w:p>
      <w:pPr>
        <w:spacing w:before="40" w:after="40"/>
        <w:ind w:left="283"/>
      </w:pPr>
      <w:r>
        <w:rPr>
          <w:rFonts w:ascii="Calibri" w:hAnsi="Calibri"/>
          <w:b/>
          <w:color w:val="4A6B25"/>
          <w:sz w:val="20"/>
        </w:rPr>
        <w:t xml:space="preserve">3. </w:t>
      </w:r>
      <w:r>
        <w:rPr>
          <w:rFonts w:ascii="Calibri" w:hAnsi="Calibri"/>
          <w:b w:val="0"/>
          <w:color w:val="3A4A28"/>
          <w:sz w:val="20"/>
        </w:rPr>
        <w:t>346 Madison Avenue development integrating AI-ready digital infrastructure and carbon-capture technology to capture emerging demand from technology and AI tenants in midtown Manhattan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decline in office demand — remote and hybrid work trends plus AI-driven productivity gains could permanently reduce office space needs per employee, undermining the Manhattan recovery narrative [2]</w:t>
      </w:r>
    </w:p>
    <w:p>
      <w:pPr>
        <w:spacing w:before="40" w:after="40"/>
        <w:ind w:left="283"/>
      </w:pPr>
      <w:r>
        <w:rPr>
          <w:rFonts w:ascii="Calibri" w:hAnsi="Calibri"/>
          <w:b/>
          <w:color w:val="4A6B25"/>
          <w:sz w:val="20"/>
        </w:rPr>
        <w:t xml:space="preserve">2. </w:t>
      </w:r>
      <w:r>
        <w:rPr>
          <w:rFonts w:ascii="Calibri" w:hAnsi="Calibri"/>
          <w:b w:val="0"/>
          <w:color w:val="3A4A28"/>
          <w:sz w:val="20"/>
        </w:rPr>
        <w:t>Financial fragility — D/E of 150%, negative GAAP ROE, and a 55% dividend cut since 2021 reflect balance sheet stress that limits flexibility if the recovery stalls or interest rates remain elevated [4]</w:t>
      </w:r>
    </w:p>
    <w:p>
      <w:pPr>
        <w:spacing w:before="40" w:after="40"/>
        <w:ind w:left="283"/>
      </w:pPr>
      <w:r>
        <w:rPr>
          <w:rFonts w:ascii="Calibri" w:hAnsi="Calibri"/>
          <w:b/>
          <w:color w:val="4A6B25"/>
          <w:sz w:val="20"/>
        </w:rPr>
        <w:t xml:space="preserve">3. </w:t>
      </w:r>
      <w:r>
        <w:rPr>
          <w:rFonts w:ascii="Calibri" w:hAnsi="Calibri"/>
          <w:b w:val="0"/>
          <w:color w:val="3A4A28"/>
          <w:sz w:val="20"/>
        </w:rPr>
        <w:t>Concentration risk — near-total exposure to Manhattan office real estate with no geographic or property-type diversification, making SL Green uniquely vulnerable to NYC-specific economic, regulatory, or tax policy changes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SL Green's core business — owning, managing, and leasing physical office buildings in Manhattan — is inherently protected from AI substitution. AI cannot replace Class A office space, building management, or the physical infrastructure that tenants require [2]. However, AI poses an indirect risk to SL Green through its potential impact on office demand: AI-driven productivity gains could reduce headcount at financial services and professional services firms that occupy Manhattan offices, accelerating remote work trends that already pressured occupancy post-COVID. The rise of AI agents handling tasks previously done by knowledge workers in offices is a medium-term demand concern. SL Green partially mitigates this by targeting AI-driven tenants for 346 Madison with ultra-fast digital infrastructure, positioning properties as AI-era workspaces [2]. The company's trophy asset strategy (One Vanderbilt, 346 Madison) also provides flight-to-quality protection. AI Opportunity (1/1): SL Green generates AI-adjacent revenue by designing buildings specifically to attract AI and technology tenants, with 346 Madison integrating digital infrastructure for this purpose [2]. IBM sustainability technology deployment across the portfolio represents operational AI adoption.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SL Green Realty Q1 2026 Earnings Release — GAAP EPS of -$1.20, FFO of $0.84/share, 930K sqft leasing volume, FY2026 FFO guidance $4.40-$4.70; GlobeNewsWire, April 15, 2026</w:t>
      </w:r>
    </w:p>
    <w:p>
      <w:pPr>
        <w:spacing w:before="20" w:after="20"/>
        <w:ind w:left="170"/>
      </w:pPr>
      <w:r>
        <w:rPr>
          <w:rFonts w:ascii="Calibri" w:hAnsi="Calibri"/>
          <w:b/>
          <w:color w:val="4A6B25"/>
          <w:sz w:val="15"/>
        </w:rPr>
        <w:t xml:space="preserve">2. </w:t>
      </w:r>
      <w:r>
        <w:rPr>
          <w:rFonts w:ascii="Calibri" w:hAnsi="Calibri"/>
          <w:b w:val="0"/>
          <w:color w:val="3A4A28"/>
          <w:sz w:val="17"/>
        </w:rPr>
        <w:t>SL Green leadership and strategy — CEO Marc Holliday (22-year tenure), 346 Madison AI-ready development, Harrison Sitomer promoted to President; company website, LEADERS Magazine, FinancialContent, 2021-2026</w:t>
      </w:r>
    </w:p>
    <w:p>
      <w:pPr>
        <w:spacing w:before="20" w:after="20"/>
        <w:ind w:left="170"/>
      </w:pPr>
      <w:r>
        <w:rPr>
          <w:rFonts w:ascii="Calibri" w:hAnsi="Calibri"/>
          <w:b/>
          <w:color w:val="4A6B25"/>
          <w:sz w:val="15"/>
        </w:rPr>
        <w:t xml:space="preserve">3. </w:t>
      </w:r>
      <w:r>
        <w:rPr>
          <w:rFonts w:ascii="Calibri" w:hAnsi="Calibri"/>
          <w:b w:val="0"/>
          <w:color w:val="3A4A28"/>
          <w:sz w:val="17"/>
        </w:rPr>
        <w:t>SL Green ESG initiatives — IBM sustainability technology adoption, Local Law 97 compliance, green leases, CDP and Bloomberg ESG ratings; IBM Newsroom, SL Green ESG Report, 2022-2025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SLG — key statistics including D/E 149.8%, dividend yield 6.3%, avg volume 1.45M;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