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SLI</w:t>
      </w:r>
      <w:r>
        <w:rPr>
          <w:rFonts w:ascii="Calibri" w:hAnsi="Calibri"/>
          <w:b/>
          <w:color w:val="1A2010"/>
          <w:sz w:val="40"/>
        </w:rPr>
        <w:t xml:space="preserve">  Standard Lithium Ltd.</w:t>
      </w:r>
    </w:p>
    <w:p>
      <w:pPr>
        <w:spacing w:after="120"/>
      </w:pPr>
      <w:r>
        <w:rPr>
          <w:rFonts w:ascii="Calibri" w:hAnsi="Calibri"/>
          <w:b/>
          <w:color w:val="6E8450"/>
          <w:sz w:val="18"/>
        </w:rPr>
        <w:t>GROWTH SLEEVE · 2026-04-12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Canada</w:t>
      </w:r>
    </w:p>
    <w:p>
      <w:pPr>
        <w:spacing w:after="80"/>
      </w:pPr>
      <w:r>
        <w:rPr>
          <w:rFonts w:ascii="Calibri" w:hAnsi="Calibri"/>
          <w:b w:val="0"/>
          <w:color w:val="3A4A28"/>
          <w:sz w:val="20"/>
        </w:rPr>
        <w:t>Standard Lithium is a near-commercial lithium development company focused on direct-lithium-extraction (DLE) from brine in the Smackover Formation of South Arkansas and East Texas. Its flagship asset is the South West Arkansas (SWA) project, a joint venture with Equinor targeting first lithium carbonate production in 2028.</w:t>
      </w:r>
    </w:p>
    <w:p>
      <w:r>
        <w:rPr>
          <w:rFonts w:ascii="Calibri" w:hAnsi="Calibri"/>
          <w:b/>
          <w:color w:val="6E8450"/>
          <w:sz w:val="18"/>
        </w:rPr>
        <w:t>50 Employees · https://www.standardlithium.com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Standard Lithium has advanced proprietary DLE technology through a demonstration plant and completed a definitive feasibility study for the SWA project, but has not yet produced a pound of commercial lithium carbonate in 18 years of corporate existence [1][2]. AI Deployment (0/2): No AI products, no AI-driven savings disclosed; AI is not material to the business. Market Share (1/2): In the nascent U.S. DLE lithium-from-brine segment, SLI is a meaningful early mover alongside ExxonMobil and Tetra in the Smackover, but it has zero share of today's lithium market [1]. Pipeline (2/2): The SWA project with Equinor, a $1.5B JV to produce 22,500 tonnes/yr of battery-quality lithium carbonate targeting first production in 2028, is a specific, funded, named project with a clear timeline [1][3]. R&amp;D Intensity (1/1): Standard Lithium spends almost entirely on R&amp;D and project development — far above industry average since it has no commercial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Standard Lithium articulates a purpose around responsible U.S. domestic lithium production from brine to support the energy transition — clear but fairly conventional for a critical-minerals developer. Community Impact (1/2): The company publishes HSSE reporting and local Arkansas community engagement programs but the scale is modest given its pre-revenue status. Employee Retention (0/2): Management team average tenure is only ~1.8 years (Simply Wall St) and the company executed a CEO transition in September 2024 with new VP appointments in June 2025 — the reverse of long tenure [3]. Insider Buying (1/2): New CEO David Park and recent board appointees have taken equity positions as part of the leadership transition, and Koch / Equinor strategic investments signal institutional conviction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Standard Lithium fails the liquidity floor — by the hard rule, stock price (~$1.30) × average daily volume (~0.7M) = ~$910K, below the $1M threshold — forcing Infrastructure to 0 [5]. Beyond that, the company is pre-revenue with TTM earnings negative and ongoing capital raises required to fund the $1.5B SWA JV; ROE is deeply negative; there is no meaningful revenue growth metric because there is no revenue [2][5]. This is a development-stage asset that should only be held at tiny position sizes.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Standard Lithium has a genuine Just Cause in domestic lithium production for the energy transition and has shown real existential flexibility in pivoting to the Smackover SWA project with Equinor. But the company is too young, too pre-revenue, and too dependent on single-project execution to be credibly called an infinite-game organization today — and a 2024 CEO change adds execution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cause — responsibly producing domestic U.S. lithium from brine to enable the energy transition — is specific, service-oriented, and aligns with clear national strategic priorities around critical minerals [1]. The purpose clearly shapes capital allocation (SWA, DLE technology focus, Arkansas geography) though it has not yet been validated through multi-decade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team average tenure of 1.8 years and a CEO transition in September 2024 followed by new VP appointments in June 2025 indicate organizational churn rather than stable, high-trust continuity [3]. No external data confirms exceptional culture or retention.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SLI management commentary occasionally acknowledges ExxonMobil, Tetra, and international DLE players in the Smackover and elsewhere, but the competitive framing is essentially uncontested given the early stage of U.S. DLE [1]. No clear Sinekian worthy-rival narrative.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Standard Lithium pivoted from early DLE pilot work with LANXESS in the Smackover to the Equinor JV on SWA as the flagship project, demonstrating willingness to reposition the company around its best asset [1][3]. The pivot is meaningful but also reflective of development-stage reality rather than a transformative choice from strength.</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committed to a multi-year, capital-intensive SWA development path with Equinor and hired a Koch Strategic Platforms alum as CEO, signalling willingness to absorb dilution and time to get the project right [3]. But until commercial production is achieved, the track record of sacrificing short-term for long-term remains largely aspirational.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Standard Lithium offers leveraged optionality on U.S. domestic lithium production. The South West Arkansas project, a $1.5B joint venture with Equinor targeting 22,500 tonnes/yr of battery-quality lithium carbonate starting in 2028, aligns with accelerating AI-driven grid-storage demand (hyperscaler data centers requiring &gt;100GW of storage capacity) and structural U.S. policy support for critical minerals [1][4]. Equinor's participation provides both capital and operating credibility, and the Smackover Formation is one of the most prospective brine resources globally [1]. New CEO David Park, formerly President of Koch Strategic Platforms, brings substantive energy-sector experience to guide the company through construction and commissioning [3].</w:t>
      </w:r>
    </w:p>
    <w:p>
      <w:pPr>
        <w:spacing w:after="120"/>
      </w:pPr>
      <w:r>
        <w:rPr>
          <w:rFonts w:ascii="Calibri" w:hAnsi="Calibri"/>
          <w:b w:val="0"/>
          <w:color w:val="3A4A28"/>
          <w:sz w:val="20"/>
        </w:rPr>
        <w:t>The bear case is severe and near-term. Standard Lithium is pre-revenue with no commercial production and fails the IOWN liquidity floor, forcing Infrastructure to 0 — by hard rule alone the stock sits outside the tradeable universe [5]. Lithium prices remain well below prior cycle peaks and the 2028 first-production target is at risk from permitting, construction, and technology scale-up challenges inherent to DLE. The management team averages only 1.8 years of tenure and a CEO change in September 2024 followed by multiple VP appointments introduce execution risk at a critical development phase [3]. Continued dilution is near-certain to fund SWA capex, and a failure to achieve nameplate DLE recovery would impair the entire thesis. Inspire score of 0 (MIXED) offers no faith-alignment tailwind.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Final investment decision and construction start on the SWA project with Equinor, validating the $1.5B capex plan and 2028 production timeline [1]</w:t>
      </w:r>
    </w:p>
    <w:p>
      <w:pPr>
        <w:spacing w:before="40" w:after="40"/>
        <w:ind w:left="283"/>
      </w:pPr>
      <w:r>
        <w:rPr>
          <w:rFonts w:ascii="Calibri" w:hAnsi="Calibri"/>
          <w:b/>
          <w:color w:val="4A6B25"/>
          <w:sz w:val="20"/>
        </w:rPr>
        <w:t xml:space="preserve">2. </w:t>
      </w:r>
      <w:r>
        <w:rPr>
          <w:rFonts w:ascii="Calibri" w:hAnsi="Calibri"/>
          <w:b w:val="0"/>
          <w:color w:val="3A4A28"/>
          <w:sz w:val="20"/>
        </w:rPr>
        <w:t>U.S. government critical-minerals support — DoE loans, IRA credits, and DOD offtake could materially de-risk project financing [1]</w:t>
      </w:r>
    </w:p>
    <w:p>
      <w:pPr>
        <w:spacing w:before="40" w:after="40"/>
        <w:ind w:left="283"/>
      </w:pPr>
      <w:r>
        <w:rPr>
          <w:rFonts w:ascii="Calibri" w:hAnsi="Calibri"/>
          <w:b/>
          <w:color w:val="4A6B25"/>
          <w:sz w:val="20"/>
        </w:rPr>
        <w:t xml:space="preserve">3. </w:t>
      </w:r>
      <w:r>
        <w:rPr>
          <w:rFonts w:ascii="Calibri" w:hAnsi="Calibri"/>
          <w:b w:val="0"/>
          <w:color w:val="3A4A28"/>
          <w:sz w:val="20"/>
        </w:rPr>
        <w:t>Lithium price recovery — a sustained move back toward $20/kg carbonate would dramatically improve SWA economics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IOWN screens reject the stock by hard rule at current trading levels [5]</w:t>
      </w:r>
    </w:p>
    <w:p>
      <w:pPr>
        <w:spacing w:before="40" w:after="40"/>
        <w:ind w:left="283"/>
      </w:pPr>
      <w:r>
        <w:rPr>
          <w:rFonts w:ascii="Calibri" w:hAnsi="Calibri"/>
          <w:b/>
          <w:color w:val="4A6B25"/>
          <w:sz w:val="20"/>
        </w:rPr>
        <w:t xml:space="preserve">2. </w:t>
      </w:r>
      <w:r>
        <w:rPr>
          <w:rFonts w:ascii="Calibri" w:hAnsi="Calibri"/>
          <w:b w:val="0"/>
          <w:color w:val="3A4A28"/>
          <w:sz w:val="20"/>
        </w:rPr>
        <w:t>Execution risk — DLE technology at commercial scale has not been proven, and SWA first production remains ~2 years out with significant capex ahead [1][2]</w:t>
      </w:r>
    </w:p>
    <w:p>
      <w:pPr>
        <w:spacing w:before="40" w:after="40"/>
        <w:ind w:left="283"/>
      </w:pPr>
      <w:r>
        <w:rPr>
          <w:rFonts w:ascii="Calibri" w:hAnsi="Calibri"/>
          <w:b/>
          <w:color w:val="4A6B25"/>
          <w:sz w:val="20"/>
        </w:rPr>
        <w:t xml:space="preserve">3. </w:t>
      </w:r>
      <w:r>
        <w:rPr>
          <w:rFonts w:ascii="Calibri" w:hAnsi="Calibri"/>
          <w:b w:val="0"/>
          <w:color w:val="3A4A28"/>
          <w:sz w:val="20"/>
        </w:rPr>
        <w:t>Dilution — continued equity issuance is almost certain to fund the capex plan, compounding shareholder risk through construction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Lithium brine extraction is a physical-world, permit- and infrastructure-heavy activity that AI cannot displace, and demand for lithium is structurally accelerated by the AI boom — hyperscalers are building grid-scale battery storage to power data centers, and analysts at CME, KBR, and Bloomberg have flagged AI as a tailwind, not a threat, for lithium producers [4]. AI Opportunity (0/1): Standard Lithium does not generate AI-related revenue; the AI tailwind accrues through lithium demand, not direct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Standard Lithium corporate website, SWA project DFS, and Equinor JV press releases</w:t>
      </w:r>
    </w:p>
    <w:p>
      <w:pPr>
        <w:spacing w:before="20" w:after="20"/>
        <w:ind w:left="170"/>
      </w:pPr>
      <w:r>
        <w:rPr>
          <w:rFonts w:ascii="Calibri" w:hAnsi="Calibri"/>
          <w:b/>
          <w:color w:val="4A6B25"/>
          <w:sz w:val="15"/>
        </w:rPr>
        <w:t xml:space="preserve">2. </w:t>
      </w:r>
      <w:r>
        <w:rPr>
          <w:rFonts w:ascii="Calibri" w:hAnsi="Calibri"/>
          <w:b w:val="0"/>
          <w:color w:val="3A4A28"/>
          <w:sz w:val="17"/>
        </w:rPr>
        <w:t>Standard Lithium 10-K / MD&amp;A — pre-revenue status, R&amp;D and development spend history</w:t>
      </w:r>
    </w:p>
    <w:p>
      <w:pPr>
        <w:spacing w:before="20" w:after="20"/>
        <w:ind w:left="170"/>
      </w:pPr>
      <w:r>
        <w:rPr>
          <w:rFonts w:ascii="Calibri" w:hAnsi="Calibri"/>
          <w:b/>
          <w:color w:val="4A6B25"/>
          <w:sz w:val="15"/>
        </w:rPr>
        <w:t xml:space="preserve">3. </w:t>
      </w:r>
      <w:r>
        <w:rPr>
          <w:rFonts w:ascii="Calibri" w:hAnsi="Calibri"/>
          <w:b w:val="0"/>
          <w:color w:val="3A4A28"/>
          <w:sz w:val="17"/>
        </w:rPr>
        <w:t>Standard Lithium leadership transition releases — David Park CEO appointment September 2024 and VP announcements June 2025</w:t>
      </w:r>
    </w:p>
    <w:p>
      <w:pPr>
        <w:spacing w:before="20" w:after="20"/>
        <w:ind w:left="170"/>
      </w:pPr>
      <w:r>
        <w:rPr>
          <w:rFonts w:ascii="Calibri" w:hAnsi="Calibri"/>
          <w:b/>
          <w:color w:val="4A6B25"/>
          <w:sz w:val="15"/>
        </w:rPr>
        <w:t xml:space="preserve">4. </w:t>
      </w:r>
      <w:r>
        <w:rPr>
          <w:rFonts w:ascii="Calibri" w:hAnsi="Calibri"/>
          <w:b w:val="0"/>
          <w:color w:val="3A4A28"/>
          <w:sz w:val="17"/>
        </w:rPr>
        <w:t>CME OpenMarkets / KBR / Bloomberg — AI data-center demand driving lithium outlook,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Simply Wall St — SLI price, volume, management tenure,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