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SLS</w:t>
      </w:r>
      <w:r>
        <w:rPr>
          <w:rFonts w:ascii="Calibri" w:hAnsi="Calibri"/>
          <w:b/>
          <w:color w:val="1A2010"/>
          <w:sz w:val="40"/>
        </w:rPr>
        <w:t xml:space="preserve">  SELLAS Life Sciences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18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SELLAS Life Sciences is a late-stage clinical biopharmaceutical company developing novel therapeutics for cancer, primarily acute myeloid leukemia (AML). Lead candidates include galinpepimut-S (GPS) in Phase 3 for AML maintenance therapy and SLS009 (tambiciclib), a CDK9 inhibitor in Phase 2 for AML.</w:t>
      </w:r>
    </w:p>
    <w:p>
      <w:r>
        <w:rPr>
          <w:rFonts w:ascii="Calibri" w:hAnsi="Calibri"/>
          <w:b/>
          <w:color w:val="6E8450"/>
          <w:sz w:val="18"/>
        </w:rPr>
        <w:t>13 Employees · https://sellaslifesciences.com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SELLAS has two differentiated oncology candidates with meaningful clinical data — GPS in the pivotal Phase 3 REGAL trial approaching topline data (72 of 80 required events recorded) for AML maintenance, and SLS009 showing a 46% overall response rate in relapsed/refractory AML with median OS of 8.9 months versus 2.5-month historical benchmark [1]. The European expansion through IMPACT-AML's STREAM network for SLS009 and preclinical data showing efficacy against high-risk TP53 mutations (presented at AACR 2026) demonstrate pipeline depth [2]. CEO Stergiou describes 2026 as a 'pivotal year' with multiple catalysts.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13 employees, SELLAS operates as a virtual biotech with outsourced clinical development and minimal organizational infrastructure [1]. CEO Angelos Stergiou has maintained investor confidence through strong clinical results, with the stock gaining 225% since November 2025. However, the skeleton-crew model limits cultural depth, and the company's reliance on warrant exercises ($54.6M in proceeds) for financing suggests capital market dependence rather than sustainable business operations.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SELLAS has no revenue, negative ROE of -66.9%, and a D/E of 1.4% reflecting minimal debt — but also minimal capital structure [1]. The $71.8M cash position (plus $42.6M in Q1 2026 warrant proceeds) provides meaningful runway, and the $889M market cap reflects significant investor optimism around the REGAL trial readout [2]. Forward P/E of -27.5x confirms pre-revenue status, and the company relies entirely on capital market transactions for funding. The 225% stock rally prices in substantial clinical success probability.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SELLAS demonstrates mixed infinite game characteristics — the persistent pursuit of novel AML therapies across GPS and SLS009 reflects scientific commitment, and the European expansion through IMPACT-AML shows strategic ambition. However, the 13-person virtual model, reliance on warrant exercises for funding, and binary clinical trial outcomes create a fundamentally speculative business profile.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new treatments for AML — a cancer with poor prognosis, especially in relapsed/refractory patients — is a genuinely inspiring mission [1]. GPS's maintenance therapy approach in CR2 patients addresses a significant unmet need where no approved maintenance therapies exist, and SLS009's efficacy against TP53-mutant AML targets the hardest-to-treat patients.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13 employees and fully outsourced clinical operations, SELLAS lacks the organizational depth for meaningful team-building [1]. The virtual model is capital-efficient but creates reliance on CROs and academic partners rather than internal capability development.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SELLAS competes in the AML treatment space against programs from AbbVie (venetoclax), BMS, and Jazz Pharmaceuticals [1]. The SLS009 combination with venetoclax/azacitidine shows the company can position alongside rather than against established therapies, though the resource gap with major pharma is enormous.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dual-program strategy (GPS immunotherapy + SLS009 CDK9 inhibitor) provides clinical diversification, and the European IMPACT-AML collaboration expands geographic reach [2]. The $114M+ in cash and warrant proceeds provides meaningful runway for a pre-revenue biotech.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Advancing two AML clinical programs with 13 employees and no revenue requires conviction in the science and capital markets [1]. The REGAL Phase 3 trial represents a significant bet on GPS efficacy that will generate a binary outcome in the near term.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SELLAS Life Sciences is a catalyst-rich oncology biotech with the Phase 3 REGAL trial for GPS in AML approaching topline results (72 of 80 events recorded), potentially the most de-risking readout in small-cap biotech in 2026 [1]. SLS009 showed a 46% ORR in r/r AML with median OS 3.5x the historical benchmark, with newly diagnosed AML trial enrollment beginning in March 2026 and topline data expected Q4 2026 [2]. The $114M+ cash position (including Q1 2026 warrant exercises) provides 2+ years of runway, and the IMPACT-AML European collaboration expands the addressable market. Analysts project Strong Buy with a $8.67 mean price target, suggesting 75% upside.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binary clinical risk — if the REGAL trial fails to show statistically significant OS improvement, the stock could lose 50-70% of its $889M market cap given the pre-revenue nature of the business [1]. GPS has only been tested in a niche AML maintenance population (CR2 patients), and even a positive trial would target a small addressable market initially. The 225% stock rally since November 2025 prices in substantial success probability, creating asymmetric downside risk [2]. With 13 employees and no internal commercial infrastructure, SELLAS would need a partnership or acquisition to commercialize GPS, and licensing terms could capture the majority of value. The reliance on warrant exercises for $54.6M in funding reflects a financing model dependent on stock price appreciation rather than business fundamentals.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REGAL Phase 3 topline results for GPS in AML maintenance — the trial has recorded 72 of 80 required events with unblinding imminent, potentially the most significant small-cap biotech catalyst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SLS009 newly diagnosed AML Phase 2 trial topline data expected Q4 2026, following the 46% ORR in r/r AML that validated the CDK9 inhibition mechanism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European expansion through IMPACT-AML STREAM network enrolling ~40 patients in SLS009 study starting Q2 2026, broadening the clinical evidence base and regulatory pathway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REGAL Phase 3 failure to demonstrate statistically significant OS improvement would likely trigger 50-70% stock decline and force strategic reassessment of the GPS program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Pre-revenue status and 13-person team mean SELLAS cannot commercialize GPS independently, requiring a partnership that could capture 50-70% of economic value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Warrant exercise-dependent financing model breaks down if stock price declines, potentially forcing dilutive equity offerings that erode per-share value for existing holders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has modest relevance to SELLAS — AI drug discovery tools could accelerate biomarker identification and clinical trial optimization for GPS and SLS009 programs [1]. The company's small size limits AI adoption, and the core value lies in proprietary immunotherapy science rather than computational methods. AI-driven competing drug development programs in AML could compress SELLAS's competitive window if larger pharma companies accelerate their pipelines.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18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SELLAS Life Sciences Full Year 2025 Financial Results and Corporate Update, March 19, 2026; REGAL Trial Update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SLS key statistics, accessed March 2026; Parameter.io — SLS 2026 catalyst analysis; SLS009 AACR 2026 preclinical presentation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