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SMCI</w:t>
      </w:r>
      <w:r>
        <w:rPr>
          <w:rFonts w:ascii="Calibri" w:hAnsi="Calibri"/>
          <w:b/>
          <w:color w:val="1A2010"/>
          <w:sz w:val="40"/>
        </w:rPr>
        <w:t xml:space="preserve">  Super Micro Computer, Inc.</w:t>
      </w:r>
    </w:p>
    <w:p>
      <w:pPr>
        <w:spacing w:after="120"/>
      </w:pPr>
      <w:r>
        <w:rPr>
          <w:rFonts w:ascii="Calibri" w:hAnsi="Calibri"/>
          <w:b/>
          <w:color w:val="6E8450"/>
          <w:sz w:val="18"/>
        </w:rPr>
        <w:t>GROWTH SLEEVE · 2026-05-12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Super Micro Computer, Inc. develops and sells server and storage solutions based on modular and open-standard architecture, serving enterprise data centers, cloud computing, artificial intelligence, 5G, and edge computing markets with liquid-cooled and air-cooled AI server systems.</w:t>
      </w:r>
    </w:p>
    <w:p>
      <w:r>
        <w:rPr>
          <w:rFonts w:ascii="Calibri" w:hAnsi="Calibri"/>
          <w:b/>
          <w:color w:val="6E8450"/>
          <w:sz w:val="18"/>
        </w:rPr>
        <w:t>6,238 Employees · https://www.supermicro.com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Supermicro transformed from a niche server OEM into a leading AI infrastructure provider, with revenue surging from $5.2B (FY2022) to $33.7B TTM as AI data center demand exploded; the company was among the first to ship liquid-cooled GPU server racks at scale [1][2]. AI Deployment (2/2): AI servers are the core business — Q3 FY2026 revenue of $10.24B was driven primarily by GPU-based AI training and inference systems, with enterprise AI revenue reaching $2.8B (+46% YoY) and large data center/OEM at $7.4B (+183% YoY) [1]. Market Share Leadership (1/2): Supermicro is a significant player in the AI server market but competes with Dell, HPE, and Lenovo; the company's share is meaningful but not dominant, and Oracle's reported $1-1.4B cancelled order suggests competitive vulnerability [3]. Product Pipeline (1/2): Building block architecture allows rapid product customization for NVIDIA, AMD, and Intel GPU platforms, with liquid cooling solutions representing a next-gen capability, though specific product launches are less well-defined than chip companies. R&amp;D Intensity (1/1): Engineering-intensive approach with rapid design-to-deployment cycles; R&amp;D spending as a percentage of revenue is above industry average for server OEMs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Supermicro's stated purpose — delivering high-performance, energy-efficient server solutions — is generic and interchangeable with any server manufacturer; it does not articulate a deeper purpose or inspire beyond the obvious. Community &amp; Charitable Impact (0/2): No evidence of significant charitable programs, community investment, or foundation activities; the company's public presence focuses entirely on products and technology. Employee Retention (1/2): Glassdoor rating of 2.3/5 for culture and work-life balance is significantly below average, with employees citing long hours and cultural challenges; however, the 6,238-person workforce has grown substantially during the AI boom, suggesting adequate talent acquisition if not retention [4]. Insider Buying (1/2): Limited insider transaction data; CEO Charles Liang's large ownership stake (~10% of shares) demonstrates skin in the game, though no meaningful recent open-market purchases by executives are evident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Extraordinary revenue growth metrics offset by thin margins and elevated leverage. D/E of 121% reflects significant debt accumulation ($9.2B) to fund AI server inventory buildout, scoring below the 70% target but above the 300% floor. ROE of 17.9% exceeds the 15% target. Revenue surged 122.7% YoY with a 3yr CAGR of ~86%, both far exceeding targets. Forward P/E of 10.4x is exceptionally cheap for a company growing this fast. However, profit margin of 3.7% is critically thin — far below the 20% target — reflecting Supermicro's low-margin hardware assembly model and competitive pricing pressure. Forward PEG of 0.91 signals deep value relative to growth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Supermicro under Charles Liang operates as a quintessential finite player — optimizing for revenue growth and market share through aggressive pricing, rapid product assembly, and operational intensity, with minimal attention to governance, culture, or purpose beyond winning the current AI infrastructure cycle. The serial governance failures — 2018 SEC accounting fraud ($17.5M fine), 2024 Ernst &amp; Young auditor resignation, and 2026 DOJ smuggling indictments involving co-founder Wally Liaw — reveal a pattern of prioritizing growth over institutional integrity. Sinek would view this as a company playing to win this quarter, not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Supermicro's purpose is to deliver high-performance, energy-efficient computing infrastructure. While 'Green Computing' messaging exists, it reads as marketing rather than a deeply held cause. Strategic decisions are driven by market opportunity (AI boom) and competitive positioning, not by a transcendent vision of a better future. The serial governance failures suggest the organizational purpose is growth and profit, not a cause worth sacrificing for [2][5].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low-trust picture — 2.3/5 for both culture and work-life balance, with employees describing long hours, cultural challenges, and management issues. The family-centric governance structure with CEO Liang's wife Sara Liu in senior roles and related-party transactions with Liang's brothers' companies creates an insider-outsider dynamic that undermines trust. The Ernst &amp; Young auditor resignation over governance and transparency concerns in 2024 is a red flag for internal culture [4][5].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Supermicro's competitive posture is finite — the company competes aggressively on price, delivery speed, and flexibility against Dell, HPE, and Lenovo, framing competition as a battle for market share rather than an opportunity to improve. The Oracle cancelled order incident and resulting competitive dynamics suggest a win-at-all-costs mindset rather than a learning-oriented competitive culture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Supermicro evolved from a niche server manufacturer to an AI infrastructure provider, demonstrating meaningful strategic adaptation as the market shifted. The rapid pivot to liquid-cooled GPU rack solutions for AI data centers shows operational flexibility. However, this evolution was market-pulled (responding to explosive AI demand) rather than cause-driven (proactively reimagining the business), and the core business model — server assembly with thin margins — has not fundamentally changed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has consistently prioritized growth over governance and institutional integrity. CEO Liang rehired co-founder Wally Liaw in 2021 (who had resigned amid the 2018 accounting scandal) despite the governance risks — a decision that led directly to the 2026 DOJ smuggling indictment. The Ernst &amp; Young auditor resignation in 2024 over governance concerns, followed by scrambling to regain NASDAQ compliance, shows reactive crisis management rather than proactive courageous leadership [5][7].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Supermicro is a high-growth AI infrastructure play trading at a deep value multiple (10.4x forward PE, 0.91 PEG) but carrying exceptional governance risk. Q3 FY2026 delivered $10.24B revenue (+123% YoY) driven by explosive demand for GPU server racks, with enterprise AI revenue up 46% and large data center revenue up 183% [1]. Full-year FY2026 guidance of $38.9-40.4B would represent near-doubling from FY2025's $22B. The company occupies a sweet spot in AI infrastructure — faster to market than Dell or HPE, with liquid cooling and building block architecture advantages.</w:t>
      </w:r>
    </w:p>
    <w:p>
      <w:pPr>
        <w:spacing w:after="120"/>
      </w:pPr>
      <w:r>
        <w:rPr>
          <w:rFonts w:ascii="Calibri" w:hAnsi="Calibri"/>
          <w:b w:val="0"/>
          <w:color w:val="3A4A28"/>
          <w:sz w:val="20"/>
        </w:rPr>
        <w:t>However, the governance discount is real and warranted. The company has faced an SEC accounting fraud settlement ($17.5M, 2018), Ernst &amp; Young auditor resignation (2024), Hindenburg Research short report alleging accounting manipulation, and a DOJ smuggling indictment (March 2026) involving co-founder Wally Liaw for allegedly exporting $2.5B of AI technology to China [5][7]. Profit margins of 3.7% are paper-thin for a company with $9.2B in debt, and the cash conversion cycle deterioration to 106 days signals working capital strain. While the AI growth story is genuine, the combination of razor-thin margins, serial governance failures, and legal overhang makes this a speculative position unsuitable for a responsible investment framework [3][6].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FY2026 revenue of $10.24B (+123% YoY) with Q4 guidance of $11-12.5B suggests continued acceleration toward ~$40B full-year revenue, driven by AI data center buildout [1]</w:t>
      </w:r>
    </w:p>
    <w:p>
      <w:pPr>
        <w:spacing w:before="40" w:after="40"/>
        <w:ind w:left="283"/>
      </w:pPr>
      <w:r>
        <w:rPr>
          <w:rFonts w:ascii="Calibri" w:hAnsi="Calibri"/>
          <w:b/>
          <w:color w:val="4A6B25"/>
          <w:sz w:val="20"/>
        </w:rPr>
        <w:t xml:space="preserve">2. </w:t>
      </w:r>
      <w:r>
        <w:rPr>
          <w:rFonts w:ascii="Calibri" w:hAnsi="Calibri"/>
          <w:b w:val="0"/>
          <w:color w:val="3A4A28"/>
          <w:sz w:val="20"/>
        </w:rPr>
        <w:t>Enterprise channel revenue reaching $2.8B (28% of total, +46% YoY) signals diversification beyond concentrated hyperscaler relationships [1]</w:t>
      </w:r>
    </w:p>
    <w:p>
      <w:pPr>
        <w:spacing w:before="40" w:after="40"/>
        <w:ind w:left="283"/>
      </w:pPr>
      <w:r>
        <w:rPr>
          <w:rFonts w:ascii="Calibri" w:hAnsi="Calibri"/>
          <w:b/>
          <w:color w:val="4A6B25"/>
          <w:sz w:val="20"/>
        </w:rPr>
        <w:t xml:space="preserve">3. </w:t>
      </w:r>
      <w:r>
        <w:rPr>
          <w:rFonts w:ascii="Calibri" w:hAnsi="Calibri"/>
          <w:b w:val="0"/>
          <w:color w:val="3A4A28"/>
          <w:sz w:val="20"/>
        </w:rPr>
        <w:t>Forward P/E of 10.4x and PEG of 0.91 represent deep value if governance issues are resolved — multiple expansion alone could drive significant upside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DOJ smuggling indictment (March 2026) alleging co-founder Wally Liaw conspired to illegally export $2.5B of AI servers to China creates material legal liability and potential export control restrictions [5][7]</w:t>
      </w:r>
    </w:p>
    <w:p>
      <w:pPr>
        <w:spacing w:before="40" w:after="40"/>
        <w:ind w:left="283"/>
      </w:pPr>
      <w:r>
        <w:rPr>
          <w:rFonts w:ascii="Calibri" w:hAnsi="Calibri"/>
          <w:b/>
          <w:color w:val="4A6B25"/>
          <w:sz w:val="20"/>
        </w:rPr>
        <w:t xml:space="preserve">2. </w:t>
      </w:r>
      <w:r>
        <w:rPr>
          <w:rFonts w:ascii="Calibri" w:hAnsi="Calibri"/>
          <w:b w:val="0"/>
          <w:color w:val="3A4A28"/>
          <w:sz w:val="20"/>
        </w:rPr>
        <w:t>Profit margin of 3.7% on $9.2B debt is precariously thin — the server assembly model provides minimal pricing power, and competition from Dell and HPE could compress margins further [1][6]</w:t>
      </w:r>
    </w:p>
    <w:p>
      <w:pPr>
        <w:spacing w:before="40" w:after="40"/>
        <w:ind w:left="283"/>
      </w:pPr>
      <w:r>
        <w:rPr>
          <w:rFonts w:ascii="Calibri" w:hAnsi="Calibri"/>
          <w:b/>
          <w:color w:val="4A6B25"/>
          <w:sz w:val="20"/>
        </w:rPr>
        <w:t xml:space="preserve">3. </w:t>
      </w:r>
      <w:r>
        <w:rPr>
          <w:rFonts w:ascii="Calibri" w:hAnsi="Calibri"/>
          <w:b w:val="0"/>
          <w:color w:val="3A4A28"/>
          <w:sz w:val="20"/>
        </w:rPr>
        <w:t>Serial governance failures (2018 SEC fraud, 2024 auditor resignation, 2026 smuggling indictment) suggest systemic integrity issues under CEO Charles Liang's family-centric management structure that could lead to additional regulatory action or delisting risk [5][7]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Supermicro is a direct beneficiary of AI buildout — its servers are the physical infrastructure running AI workloads in data centers globally. AI cannot displace the company because AI compute requires Supermicro's products; every AI model trained or deployed needs GPU server racks. However, the company is 'protected' rather than 'immune' because its server assembly business faces intense competition from Dell, HPE, and Lenovo with limited proprietary differentiation — Supermicro assembles third-party GPUs (NVIDIA, AMD) rather than designing irreplaceable silicon [2][3]. AI Opportunity (1/1): The entire business is AI-driven — Q3 FY2026 revenue of $10.24B was overwhelmingly from AI server systems, with large data center AI revenue of $7.4B (+183% YoY) representing 72% of total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Super Micro Computer Q3 FY2026 Earnings Release — Revenue $10.24B, +123% YoY, May 2026</w:t>
      </w:r>
    </w:p>
    <w:p>
      <w:pPr>
        <w:spacing w:before="20" w:after="20"/>
        <w:ind w:left="170"/>
      </w:pPr>
      <w:r>
        <w:rPr>
          <w:rFonts w:ascii="Calibri" w:hAnsi="Calibri"/>
          <w:b/>
          <w:color w:val="4A6B25"/>
          <w:sz w:val="15"/>
        </w:rPr>
        <w:t xml:space="preserve">2. </w:t>
      </w:r>
      <w:r>
        <w:rPr>
          <w:rFonts w:ascii="Calibri" w:hAnsi="Calibri"/>
          <w:b w:val="0"/>
          <w:color w:val="3A4A28"/>
          <w:sz w:val="17"/>
        </w:rPr>
        <w:t>FinancialContent — 'The AI Infrastructure Titan: Deep-Dive Research Report on SMCI,' December 2025</w:t>
      </w:r>
    </w:p>
    <w:p>
      <w:pPr>
        <w:spacing w:before="20" w:after="20"/>
        <w:ind w:left="170"/>
      </w:pPr>
      <w:r>
        <w:rPr>
          <w:rFonts w:ascii="Calibri" w:hAnsi="Calibri"/>
          <w:b/>
          <w:color w:val="4A6B25"/>
          <w:sz w:val="15"/>
        </w:rPr>
        <w:t xml:space="preserve">3. </w:t>
      </w:r>
      <w:r>
        <w:rPr>
          <w:rFonts w:ascii="Calibri" w:hAnsi="Calibri"/>
          <w:b w:val="0"/>
          <w:color w:val="3A4A28"/>
          <w:sz w:val="17"/>
        </w:rPr>
        <w:t>The Motley Fool — 'Why the Supermicro Smuggling Case Should Concern Every AI Investor in 2026,' March 2026</w:t>
      </w:r>
    </w:p>
    <w:p>
      <w:pPr>
        <w:spacing w:before="20" w:after="20"/>
        <w:ind w:left="170"/>
      </w:pPr>
      <w:r>
        <w:rPr>
          <w:rFonts w:ascii="Calibri" w:hAnsi="Calibri"/>
          <w:b/>
          <w:color w:val="4A6B25"/>
          <w:sz w:val="15"/>
        </w:rPr>
        <w:t xml:space="preserve">4. </w:t>
      </w:r>
      <w:r>
        <w:rPr>
          <w:rFonts w:ascii="Calibri" w:hAnsi="Calibri"/>
          <w:b w:val="0"/>
          <w:color w:val="3A4A28"/>
          <w:sz w:val="17"/>
        </w:rPr>
        <w:t>Glassdoor — Super Micro Computer Employee Reviews,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FinancialContent — 'SMCI: A 2026 Deep Dive into AI Infrastructure and Governance,' January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SMCI Key Statistics, accessed May 2026</w:t>
      </w:r>
    </w:p>
    <w:p>
      <w:pPr>
        <w:spacing w:before="20" w:after="20"/>
        <w:ind w:left="170"/>
      </w:pPr>
      <w:r>
        <w:rPr>
          <w:rFonts w:ascii="Calibri" w:hAnsi="Calibri"/>
          <w:b/>
          <w:color w:val="4A6B25"/>
          <w:sz w:val="15"/>
        </w:rPr>
        <w:t xml:space="preserve">7. </w:t>
      </w:r>
      <w:r>
        <w:rPr>
          <w:rFonts w:ascii="Calibri" w:hAnsi="Calibri"/>
          <w:b w:val="0"/>
          <w:color w:val="3A4A28"/>
          <w:sz w:val="17"/>
        </w:rPr>
        <w:t>Hindenburg Research — 'Super Micro: Fresh Evidence of Accounting Manipulation,' August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