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SMFG</w:t>
      </w:r>
      <w:r>
        <w:rPr>
          <w:rFonts w:ascii="Calibri" w:hAnsi="Calibri"/>
          <w:b/>
          <w:color w:val="1A2010"/>
          <w:sz w:val="40"/>
        </w:rPr>
        <w:t xml:space="preserve">  Sumitomo Mitsui Financial Group, Inc.</w:t>
      </w:r>
    </w:p>
    <w:p>
      <w:pPr>
        <w:spacing w:after="120"/>
      </w:pPr>
      <w:r>
        <w:rPr>
          <w:rFonts w:ascii="Calibri" w:hAnsi="Calibri"/>
          <w:b/>
          <w:color w:val="6E8450"/>
          <w:sz w:val="18"/>
        </w:rPr>
        <w:t>DIVIDEND SLEEVE · 2026-04-16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Diversified · NYSE · Japan</w:t>
      </w:r>
    </w:p>
    <w:p>
      <w:pPr>
        <w:spacing w:after="80"/>
      </w:pPr>
      <w:r>
        <w:rPr>
          <w:rFonts w:ascii="Calibri" w:hAnsi="Calibri"/>
          <w:b w:val="0"/>
          <w:color w:val="3A4A28"/>
          <w:sz w:val="20"/>
        </w:rPr>
        <w:t>Sumitomo Mitsui Financial Group, Inc. is one of Japan's three megabanks, providing banking, leasing, securities, consumer finance, and other financial services globally. It operates through Wholesale Business, Retail Business, Global Business, and Global Markets segments, serving corporate, retail, and institutional clients across Japan, the Americas, Europe, the Middle East, Asia, and Oceania.</w:t>
      </w:r>
    </w:p>
    <w:p>
      <w:r>
        <w:rPr>
          <w:rFonts w:ascii="Calibri" w:hAnsi="Calibri"/>
          <w:b/>
          <w:color w:val="6E8450"/>
          <w:sz w:val="18"/>
        </w:rPr>
        <w:t>123,000 Employees · https://www.smfg.co.jp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SMFG has executed a meaningful multi-year transformation from a traditional Japanese megabank into a globally diversified financial group, expanding its Global Business Unit significantly and growing consolidated revenue from ¥3.4T (FY2022) to ¥5.1T (FY2025) — a 48% increase in three years [1]. The acquisition spree in Asia and the Americas diversified revenue streams beyond Japan's low-rate environment. AI Deployment (2/2): SMFG committed JPY 50 billion specifically to generative AI and deployed IBM Watson for call center operations as early as 2014 [3]. In 2025, SMFG appointed Ahmed Mazhari as groupwide AI Transformation Advisor and established an agentic AI venture in Singapore to develop enterprise AI solutions, with the stated goal of becoming an 'AI-leading Financial Institution' [3]. Market Share (1/2): SMFG is Japan's second-largest bank by assets and a top-three player in Japanese wholesale and retail banking, with growing international presence. However, it trails MUFG in global scale and competes intensely with Mizuho domestically [1]. Pipeline (0/2): No specific next-generation product launches with defined timelines were identified beyond the general AI and digital transformation initiatives. R&amp;D Intensity (1/1): The JPY 800 billion IT investment commitment and JPY 50B generative AI allocation represent above-average technology spending for a global bank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SMFG's vision — to be a 'globally trusted, innovative solution provider' built on core values of Integrity, Customer First, Proactive &amp; Innovative, Speed &amp; Quality, and Team 'SMBC Group' — is specific and thoughtfully articulated [3]. The emphasis on honest debate 'regardless of age or position' reflects genuine intentionality about corporate culture, particularly notable for a traditional Japanese institution. However, the vision has not yet been validated through multi-decade transformative execution. Community Impact (1/2): SMFG maintains corporate social responsibility programs across its operating geographies and has made climate commitments including net-zero operational emissions by 2030 and portfolio-wide by 2050 [5]. However, the NZBA exit undermines credibility of environmental commitments [5]. Employee Retention (1/2): With 123,000 employees and the stability typical of major Japanese corporations, SMFG benefits from Japan's cultural emphasis on long-term employment. Leadership continuity under CEO Toru Nakashima provides organizational stability [3]. Insider Buying (1/2): Limited insider transaction data available for ADR shares. However, SMFG's progressive dividend policy and significant share buyback programs signal management confidence in long-term value creation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SMFG's financial profile is exceptionally strong for a global megabank. Revenue grew 14.3% YoY to ¥5.07T in FY2025 (ending March 2025), with 9-month FY2026 profit reaching ¥1.39T, up 23% from the prior year period [1][2]. The full-year FY2026 profit forecast of ¥1.5T implies 27.3% growth, with forecast EPS of ¥390.16 [1]. Profit margin of 20.7% is excellent for a diversified bank [7]. ROE of approximately 9% is strong by Japanese banking standards though below the 15% global target [1]. The payout ratio of 36.6% is conservative with a progressive dividend policy targeting 40%, and the 5-year dividend growth CAGR of 16.6% is outstanding [6]. D/E is excluded from calculation as leverage ratios are not meaningful for banks in the same way as industrial companies. Forward P/E of approximately 12x (adjusted for ADR structure) is attractive for a bank generating double-digit profit growth [1]. Liquidity floor cleared: $49.8M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SMFG demonstrates strong infinite game characteristics rooted in its 400+ year Sumitomo Group heritage and multi-decade institutional stability. The commitment to becoming an AI-leading financial institution while maintaining traditional banking relationships shows forward-looking vision. However, the NZBA exit and the inherently quarterly-focused nature of banking regulation keep it from the highest tier.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SMFG inherits the Sumitomo Group's 400+ year commercial tradition, with a vision to be a 'globally trusted, innovative solution provider' [3]. The core values of Integrity and Customer First are deeply embedded in Japanese business culture and guide strategic decisions. The emphasis on honest debate regardless of hierarchy is distinctive for a Japanese institution. However, the vision, while genuine, is more about institutional excellence than a transformative future state.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Japanese megabanks provide lifetime-employment-style stability, and SMFG's 123,000 employees benefit from this cultural framework [3]. Leadership continuity under CEO Nakashima and the organizational stability typical of major Japanese corporations create adequate trust. However, traditional Japanese banking hierarchy can constrain the psychological safety Sinek values, and no exceptional evidence of employee empowerment beyond cultural norms was found.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SMFG explicitly acknowledges its position relative to MUFG (larger globally) and Mizuho (comparable domestically), using competitive dynamics to drive self-improvement — the AI transformation initiative and global expansion strategy are partly motivated by closing gaps with global peers like JPMorgan and HSBC [3]. The appointment of former Microsoft Asia executive Ahmed Mazhari as AI advisor reflects learning from tech rivals.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SMFG has evolved from a domestic Japanese bank into a diversified global financial group, expanding significantly in Asia, the Americas, and Europe over the past decade [1]. The pivot toward AI and digital transformation — including establishing a Singapore AI venture — shows willingness to adapt. However, the core banking model remains fundamentally unchanged; evolution has been geographic and technological rather than business model transformation.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SMFG committed JPY 800 billion to IT transformation and JPY 50 billion to generative AI despite Japan's conservative banking culture [3]. The decision to hire a dedicated AI Transformation Advisor from Microsoft signals willingness to invest in long-term capability. However, the NZBA exit, while pragmatic given political pressure, suggests willingness to retreat from principled positions when expedient [5].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SMFG is Japan's second-largest megabank delivering exceptional profit growth — FY2026 forecast of ¥1.5T net income (up 27.3% YoY) with 9-month results already at ¥1.39T [1][2]. At approximately 12x forward P/E with a 2.56% dividend yield growing at 16.6% annually over 5 years, the valuation is attractive for a bank generating double-digit earnings growth [6][7]. The Bank of Japan's rate normalization creates a structural tailwind for net interest margins after decades of zero/negative rates, driving the revenue surge from ¥3.4T (FY2022) to ¥5.1T (FY2025) [1]. SMFG's aggressive AI strategy — JPY 50B in generative AI investment, an agentic AI venture in Singapore, and the goal to become an 'AI-leading Financial Institution' — positions it ahead of banking peers in technology adoption [3]. The global diversification strategy provides growth optionality beyond Japan's aging demographic headwinds.</w:t>
      </w:r>
    </w:p>
    <w:p>
      <w:pPr>
        <w:spacing w:after="120"/>
      </w:pPr>
      <w:r>
        <w:rPr>
          <w:rFonts w:ascii="Calibri" w:hAnsi="Calibri"/>
          <w:b w:val="0"/>
          <w:color w:val="3A4A28"/>
          <w:sz w:val="20"/>
        </w:rPr>
        <w:t>The bear case centers on currency risk, demographic headwinds, and cyclical vulnerability. The ADR is denominated in USD while earnings are primarily in JPY — yen depreciation directly erodes ADR returns, and the yen has weakened significantly over the past three years [7]. Japan's aging population structurally constrains domestic retail banking growth, requiring expensive international expansion to maintain growth rates. The BOJ rate normalization that has boosted recent results could reverse if Japan's economy weakens, compressing the net interest margin tailwind. Credit quality risk rises in a higher-rate environment as borrowers adjust to rates they haven't experienced in decades. The NZBA exit exposes SMFG to ESG-focused investor selling and questions the sincerity of climate commitments [5]. Global banking exposure, including emerging market loans, creates tail risk from geopolitical disruption or credit cycles in developing economies.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Bank of Japan rate normalization continuing to expand net interest margins — each 25bp rate hike adds meaningful profitability to SMFG's massive yen-denominated loan book [1]</w:t>
      </w:r>
    </w:p>
    <w:p>
      <w:pPr>
        <w:spacing w:before="40" w:after="40"/>
        <w:ind w:left="283"/>
      </w:pPr>
      <w:r>
        <w:rPr>
          <w:rFonts w:ascii="Calibri" w:hAnsi="Calibri"/>
          <w:b/>
          <w:color w:val="4A6B25"/>
          <w:sz w:val="20"/>
        </w:rPr>
        <w:t xml:space="preserve">2. </w:t>
      </w:r>
      <w:r>
        <w:rPr>
          <w:rFonts w:ascii="Calibri" w:hAnsi="Calibri"/>
          <w:b w:val="0"/>
          <w:color w:val="3A4A28"/>
          <w:sz w:val="20"/>
        </w:rPr>
        <w:t>FY2026 full-year profit target of ¥1.5T with 9-month results at 93% of target, suggesting potential for an upward revision and further dividend increases [1][2]</w:t>
      </w:r>
    </w:p>
    <w:p>
      <w:pPr>
        <w:spacing w:before="40" w:after="40"/>
        <w:ind w:left="283"/>
      </w:pPr>
      <w:r>
        <w:rPr>
          <w:rFonts w:ascii="Calibri" w:hAnsi="Calibri"/>
          <w:b/>
          <w:color w:val="4A6B25"/>
          <w:sz w:val="20"/>
        </w:rPr>
        <w:t xml:space="preserve">3. </w:t>
      </w:r>
      <w:r>
        <w:rPr>
          <w:rFonts w:ascii="Calibri" w:hAnsi="Calibri"/>
          <w:b w:val="0"/>
          <w:color w:val="3A4A28"/>
          <w:sz w:val="20"/>
        </w:rPr>
        <w:t>AI transformation strategy with JPY 50B in generative AI investment and the Singapore agentic AI venture potentially creating new revenue streams and operational efficiencies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Yen depreciation risk — ADR investors face direct currency translation losses as SMFG earns primarily in JPY, with recent yen weakness already eroding dollar-denominated returns [7]</w:t>
      </w:r>
    </w:p>
    <w:p>
      <w:pPr>
        <w:spacing w:before="40" w:after="40"/>
        <w:ind w:left="283"/>
      </w:pPr>
      <w:r>
        <w:rPr>
          <w:rFonts w:ascii="Calibri" w:hAnsi="Calibri"/>
          <w:b/>
          <w:color w:val="4A6B25"/>
          <w:sz w:val="20"/>
        </w:rPr>
        <w:t xml:space="preserve">2. </w:t>
      </w:r>
      <w:r>
        <w:rPr>
          <w:rFonts w:ascii="Calibri" w:hAnsi="Calibri"/>
          <w:b w:val="0"/>
          <w:color w:val="3A4A28"/>
          <w:sz w:val="20"/>
        </w:rPr>
        <w:t>BOJ policy reversal — if Japan's economy weakens and the BOJ pauses or reverses rate normalization, the net interest margin tailwind driving the earnings surge could stall [1]</w:t>
      </w:r>
    </w:p>
    <w:p>
      <w:pPr>
        <w:spacing w:before="40" w:after="40"/>
        <w:ind w:left="283"/>
      </w:pPr>
      <w:r>
        <w:rPr>
          <w:rFonts w:ascii="Calibri" w:hAnsi="Calibri"/>
          <w:b/>
          <w:color w:val="4A6B25"/>
          <w:sz w:val="20"/>
        </w:rPr>
        <w:t xml:space="preserve">3. </w:t>
      </w:r>
      <w:r>
        <w:rPr>
          <w:rFonts w:ascii="Calibri" w:hAnsi="Calibri"/>
          <w:b w:val="0"/>
          <w:color w:val="3A4A28"/>
          <w:sz w:val="20"/>
        </w:rPr>
        <w:t>NZBA exit and ESG credibility damage — leaving the Net-Zero Banking Alliance exposes SMFG to selling pressure from ESG-mandated funds and undermines the climate commitment narrative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SMFG's core business — corporate lending, trade finance, securities underwriting, and retail banking — involves deeply regulated processes, complex relationship management, and compliance requirements that AI cannot structurally displace [1]. Japanese banking regulation, cross-selling across business units, and the trust-based corporate relationship model provide strong moats. However, retail banking operations face moderate AI disruption risk as fintech competitors deploy AI-powered lending, payments, and advisory services. Back-office automation could reduce headcount over time. AI Opportunity (1/1): SMFG generates measurable AI impact — the JPY 50B generative AI investment, IBM Watson deployment since 2014, the appointment of a dedicated AI Transformation Advisor, and the Singapore-based agentic AI venture represent concrete, revenue-targeting AI initiatives [3]. The goal to become an 'AI-leading Financial Institution' is backed by specific capital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SMFG FY2025 and 9M FY2026 Financial Results — consolidated revenue ¥5.07T, net income ¥1.18T, 9M profit ¥1.39T, 2025-2026</w:t>
      </w:r>
    </w:p>
    <w:p>
      <w:pPr>
        <w:spacing w:before="20" w:after="20"/>
        <w:ind w:left="170"/>
      </w:pPr>
      <w:r>
        <w:rPr>
          <w:rFonts w:ascii="Calibri" w:hAnsi="Calibri"/>
          <w:b/>
          <w:color w:val="4A6B25"/>
          <w:sz w:val="15"/>
        </w:rPr>
        <w:t xml:space="preserve">2. </w:t>
      </w:r>
      <w:r>
        <w:rPr>
          <w:rFonts w:ascii="Calibri" w:hAnsi="Calibri"/>
          <w:b w:val="0"/>
          <w:color w:val="3A4A28"/>
          <w:sz w:val="17"/>
        </w:rPr>
        <w:t>SMFG Investor Meeting 1H FY3/2026 — profit forecast ¥1.5T, segment performance, capital allocation, November 2025</w:t>
      </w:r>
    </w:p>
    <w:p>
      <w:pPr>
        <w:spacing w:before="20" w:after="20"/>
        <w:ind w:left="170"/>
      </w:pPr>
      <w:r>
        <w:rPr>
          <w:rFonts w:ascii="Calibri" w:hAnsi="Calibri"/>
          <w:b/>
          <w:color w:val="4A6B25"/>
          <w:sz w:val="15"/>
        </w:rPr>
        <w:t xml:space="preserve">3. </w:t>
      </w:r>
      <w:r>
        <w:rPr>
          <w:rFonts w:ascii="Calibri" w:hAnsi="Calibri"/>
          <w:b w:val="0"/>
          <w:color w:val="3A4A28"/>
          <w:sz w:val="17"/>
        </w:rPr>
        <w:t>SMFG corporate website and MarketScreener — AI strategy, Ahmed Mazhari appointment, JPY 50B AI investment, agentic AI venture, 2025</w:t>
      </w:r>
    </w:p>
    <w:p>
      <w:pPr>
        <w:spacing w:before="20" w:after="20"/>
        <w:ind w:left="170"/>
      </w:pPr>
      <w:r>
        <w:rPr>
          <w:rFonts w:ascii="Calibri" w:hAnsi="Calibri"/>
          <w:b/>
          <w:color w:val="4A6B25"/>
          <w:sz w:val="15"/>
        </w:rPr>
        <w:t xml:space="preserve">4. </w:t>
      </w:r>
      <w:r>
        <w:rPr>
          <w:rFonts w:ascii="Calibri" w:hAnsi="Calibri"/>
          <w:b w:val="0"/>
          <w:color w:val="3A4A28"/>
          <w:sz w:val="17"/>
        </w:rPr>
        <w:t>SMFG corporate website — Directors, Executive Officers, leadership team, core values,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ESG Today / BankTrack — SMFG exits Net-Zero Banking Alliance, climate commitments, EACOP financing controversy, 2025-2026</w:t>
      </w:r>
    </w:p>
    <w:p>
      <w:pPr>
        <w:spacing w:before="20" w:after="20"/>
        <w:ind w:left="170"/>
      </w:pPr>
      <w:r>
        <w:rPr>
          <w:rFonts w:ascii="Calibri" w:hAnsi="Calibri"/>
          <w:b/>
          <w:color w:val="4A6B25"/>
          <w:sz w:val="15"/>
        </w:rPr>
        <w:t xml:space="preserve">6. </w:t>
      </w:r>
      <w:r>
        <w:rPr>
          <w:rFonts w:ascii="Calibri" w:hAnsi="Calibri"/>
          <w:b w:val="0"/>
          <w:color w:val="3A4A28"/>
          <w:sz w:val="17"/>
        </w:rPr>
        <w:t>Nasdaq / Dividend.com — SMFG ADR dividend history, 5-year growth rate 16.59%, progressive dividend policy, accessed April 2026</w:t>
      </w:r>
    </w:p>
    <w:p>
      <w:pPr>
        <w:spacing w:before="20" w:after="20"/>
        <w:ind w:left="170"/>
      </w:pPr>
      <w:r>
        <w:rPr>
          <w:rFonts w:ascii="Calibri" w:hAnsi="Calibri"/>
          <w:b/>
          <w:color w:val="4A6B25"/>
          <w:sz w:val="15"/>
        </w:rPr>
        <w:t xml:space="preserve">7. </w:t>
      </w:r>
      <w:r>
        <w:rPr>
          <w:rFonts w:ascii="Calibri" w:hAnsi="Calibri"/>
          <w:b w:val="0"/>
          <w:color w:val="3A4A28"/>
          <w:sz w:val="17"/>
        </w:rPr>
        <w:t>Yahoo Finance — SMFG key statistics, ADR pricing,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