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SMR</w:t>
      </w:r>
      <w:r>
        <w:rPr>
          <w:rFonts w:ascii="Calibri" w:hAnsi="Calibri"/>
          <w:b/>
          <w:color w:val="1A2010"/>
          <w:sz w:val="40"/>
        </w:rPr>
        <w:t xml:space="preserve">  NuScale Power Corporation</w:t>
      </w:r>
    </w:p>
    <w:p>
      <w:pPr>
        <w:spacing w:after="120"/>
      </w:pPr>
      <w:r>
        <w:rPr>
          <w:rFonts w:ascii="Calibri" w:hAnsi="Calibri"/>
          <w:b/>
          <w:color w:val="6E8450"/>
          <w:sz w:val="18"/>
        </w:rPr>
        <w:t>GROWTH SLEEVE · 2026-05-12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NuScale Power Corporation develops small modular reactor (SMR) technology for nuclear energy. Its NuScale Power Module generates 77 MWe of electricity using light water reactor technology with passive safety systems. The company is the only SMR design to receive NRC design certification and is pursuing deployment through strategic partner ENTRA1 Energy, including a potential 6 GW program with the Tennessee Valley Authority.</w:t>
      </w:r>
    </w:p>
    <w:p>
      <w:r>
        <w:rPr>
          <w:rFonts w:ascii="Calibri" w:hAnsi="Calibri"/>
          <w:b/>
          <w:color w:val="6E8450"/>
          <w:sz w:val="18"/>
        </w:rPr>
        <w:t>428 Employees · https://www.nuscalepower.com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NuScale achieved the first-ever NRC design certification for a small modular reactor in January 2023, a regulatory milestone that took over a decade and represents genuine technological innovation in the nuclear industry [1]. The company has evolved from a university research project to the leading SMR developer globally. AI Deployment (0/2): No evidence of AI-powered products or meaningful AI-driven operational efficiencies. Market Share (2/2): NuScale is the category leader in SMR technology, holding the only NRC-certified SMR design in the United States, with a 77 MWe module design that defines the commercial SMR market [2]. Product Pipeline (2/2): The ENTRA1 Energy/TVA partnership targets up to 6 GW of NuScale SMR capacity — the largest nuclear deployment program in U.S. history — with revenue estimates of $95.7 million for 2026 and 49% annualized growth projected for three years [3]. R&amp;D Intensity (1/1): Heavy R&amp;D investment relative to revenue; the company has spent hundreds of millions developing its reactor design through the NRC certification process, well above industry average for its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NuScale's mission to 'improve the quality of life for humankind by advancing nuclear power' is specific, thoughtful, and connects the company's work to addressing climate change and global energy access — a genuinely purposeful statement that differentiates from generic energy companies [4]. Community &amp; Charitable Impact (1/2): NuScale's SMR technology inherently serves communities through clean energy access, and the company's work with TVA represents community-scale energy infrastructure, though specific charitable programs are not prominent. Employee Retention (1/2): CEO John Hopkins has led the company since 2012 (14-year tenure), and CTO Jose Reyes co-founded the company and has served since 2007, demonstrating exceptional leadership continuity. The 428-person team is lean and mission-driven. Insider Buying (1/2): Leadership continuity suggests alignment, though no specific data on recent net insider buying was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fundamentally weak as a pre-revenue nuclear technology company. Q1 2026 revenue was only $0.6 million, down 95.8% YoY from $13.4 million due to the completion of the RoPower licensing agreement [5]. ROE is deeply negative at -83.1%, and Forward P/E is negative (-21.7) reflecting ongoing losses. The one bright spot is pristine balance sheet health: debt-to-equity of just 0.5% and a $1.2 billion cash war chest providing significant runway [3]. Profit margin is effectively zero. Liquidity is excellent at $378 million daily dollar volume. The scoring algorithm produces a 2/10 reflecting the reality that this is a technology development company, not yet an operating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NuScale demonstrates meaningful infinite game qualities through its 19-year commitment to nuclear innovation and a mission-driven culture, though the company has not yet faced the existential tests that separate truly infinite players from aspiring ones.</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NuScale's mission to 'improve the quality of life for humankind by advancing nuclear power' articulates a genuine cause that connects to climate change, energy security, and global development. The cause has been validated by 19 years of consistent pursuit through enormous regulatory and financial challenges, though it hasn't yet survived the ultimate test of commercial deployment and potential failure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continuity is exceptional — CEO Hopkins (since 2012) and CTO Reyes (co-founder since 2007) demonstrate a stable, committed team. With only 428 employees pursuing an extraordinarily complex mission, the organization requires high trust. However, no specific evidence of employee empowerment practices, low turnover data, or cultural distinctiveness was found beyond the small-team stability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NuScale operates in a competitive SMR landscape alongside designs from GE Hitachi (BWRX-300), TerraPower, and X-energy. The company acknowledges the broader nuclear renaissance and positions its NRC certification as a differentiator rather than framing rivals as threats to be destroyed. Management commentary focuses on advancing nuclear technology collectively, with NuScale's certification paving the way for the industry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NuScale has shown incremental flexibility, evolving its module design from 50 MWe to 77 MWe and pivoting from the failed UAMPS project to the ENTRA1/TVA partnership after the Idaho project was canceled due to cost overruns [7]. However, the company has not made a truly transformative strategic shift — it remains focused on the same core SMR technology since founding.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NuScale has invested nearly two decades and hundreds of millions pursuing NRC certification when most investors and analysts were skeptical of commercial SMR viability. The decision to continue after the UAMPS project cancellation in 2023 — maintaining R&amp;D and team integrity through a period of intense doubt — represents genuine courage to invest in long-term capability despite near-term pain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NuScale Power holds the only NRC-certified small modular reactor design in the United States, positioning the company at the center of the nuclear renaissance driven by AI data center power demand. The ENTRA1 Energy/TVA partnership targeting up to 6 GW of SMR capacity represents the largest nuclear deployment program in U.S. history, with revenue projected to grow 49% annually over the next three years [3]. A $1.2 billion cash position provides substantial runway through commercialization [5].</w:t>
      </w:r>
    </w:p>
    <w:p>
      <w:pPr>
        <w:spacing w:after="120"/>
      </w:pPr>
      <w:r>
        <w:rPr>
          <w:rFonts w:ascii="Calibri" w:hAnsi="Calibri"/>
          <w:b w:val="0"/>
          <w:color w:val="3A4A28"/>
          <w:sz w:val="20"/>
        </w:rPr>
        <w:t>The investment case requires patience and tolerance for pre-revenue risk. Q1 2026 revenue was only $0.6 million, and the company remains deeply unprofitable with -83% ROE [5]. The failed UAMPS project (canceled in 2023 after costs more than doubled to $9.3 billion) highlights execution risk in nuclear deployment [7]. NRC safety concerns about the steam generator design and boron depletion in passive cooling systems remain unresolved technical risks [8]. The stock has been highly volatile (beta 2.25) as market sentiment oscillates between nuclear enthusiasm and execution skepticism. For IOWN's framework, the exceptional AI Resilience score and strong innovation profile are offset by fundamentally weak infrastructure metrics, making this a high-conviction, high-risk holding.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TVA Power Purchase Agreement expected by year-end 2026 would validate the commercial viability of NuScale SMRs and unlock the 6 GW pipeline [3]</w:t>
      </w:r>
    </w:p>
    <w:p>
      <w:pPr>
        <w:spacing w:before="40" w:after="40"/>
        <w:ind w:left="283"/>
      </w:pPr>
      <w:r>
        <w:rPr>
          <w:rFonts w:ascii="Calibri" w:hAnsi="Calibri"/>
          <w:b/>
          <w:color w:val="4A6B25"/>
          <w:sz w:val="20"/>
        </w:rPr>
        <w:t xml:space="preserve">2. </w:t>
      </w:r>
      <w:r>
        <w:rPr>
          <w:rFonts w:ascii="Calibri" w:hAnsi="Calibri"/>
          <w:b w:val="0"/>
          <w:color w:val="3A4A28"/>
          <w:sz w:val="20"/>
        </w:rPr>
        <w:t>Growing hyperscaler interest in nuclear power for AI data centers — NuScale reports majority of tier-one hyperscalers have expressed interest in SMR-powered facilities [6]</w:t>
      </w:r>
    </w:p>
    <w:p>
      <w:pPr>
        <w:spacing w:before="40" w:after="40"/>
        <w:ind w:left="283"/>
      </w:pPr>
      <w:r>
        <w:rPr>
          <w:rFonts w:ascii="Calibri" w:hAnsi="Calibri"/>
          <w:b/>
          <w:color w:val="4A6B25"/>
          <w:sz w:val="20"/>
        </w:rPr>
        <w:t xml:space="preserve">3. </w:t>
      </w:r>
      <w:r>
        <w:rPr>
          <w:rFonts w:ascii="Calibri" w:hAnsi="Calibri"/>
          <w:b w:val="0"/>
          <w:color w:val="3A4A28"/>
          <w:sz w:val="20"/>
        </w:rPr>
        <w:t>Revenue inflection expected as analyst estimates project $95.7 million for full-year 2026 and 49% annual growth for three years, driven by licensing and engineering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Nuclear deployment execution risk — the UAMPS project's cost doubling to $9.3 billion and eventual cancellation in 2023 demonstrates how nuclear construction costs can spiral beyond projections [7]</w:t>
      </w:r>
    </w:p>
    <w:p>
      <w:pPr>
        <w:spacing w:before="40" w:after="40"/>
        <w:ind w:left="283"/>
      </w:pPr>
      <w:r>
        <w:rPr>
          <w:rFonts w:ascii="Calibri" w:hAnsi="Calibri"/>
          <w:b/>
          <w:color w:val="4A6B25"/>
          <w:sz w:val="20"/>
        </w:rPr>
        <w:t xml:space="preserve">2. </w:t>
      </w:r>
      <w:r>
        <w:rPr>
          <w:rFonts w:ascii="Calibri" w:hAnsi="Calibri"/>
          <w:b w:val="0"/>
          <w:color w:val="3A4A28"/>
          <w:sz w:val="20"/>
        </w:rPr>
        <w:t>NRC safety concerns about passive emergency cooling systems and boron depletion could delay or prevent additional design approvals needed for commercial deployment [8]</w:t>
      </w:r>
    </w:p>
    <w:p>
      <w:pPr>
        <w:spacing w:before="40" w:after="40"/>
        <w:ind w:left="283"/>
      </w:pPr>
      <w:r>
        <w:rPr>
          <w:rFonts w:ascii="Calibri" w:hAnsi="Calibri"/>
          <w:b/>
          <w:color w:val="4A6B25"/>
          <w:sz w:val="20"/>
        </w:rPr>
        <w:t xml:space="preserve">3. </w:t>
      </w:r>
      <w:r>
        <w:rPr>
          <w:rFonts w:ascii="Calibri" w:hAnsi="Calibri"/>
          <w:b w:val="0"/>
          <w:color w:val="3A4A28"/>
          <w:sz w:val="20"/>
        </w:rPr>
        <w:t>Competition from alternative SMR designs (GE Hitachi BWRX-300, TerraPower, X-energy) and from established large reactor builders could erode NuScale's first-mover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NuScale is structurally immune to AI disruption — AI cannot replace physical nuclear reactors or the deeply regulated nuclear energy production process. In fact, AI dramatically increases demand for NuScale's product: hyperscaler data centers require massive baseload power, and NuScale's CEO reports that a majority of tier-one hyperscalers have expressed interest in buying power from SMR installations [6]. Nuclear is one of the few energy sources that can reliably power AI infrastructure at scale with zero carbon emissions. The NRC regulatory moat and decade-long certification process create insurmountable barriers that AI cannot circumvent. AI Opportunity (1/1): NuScale generates revenue directly linked to AI infrastructure demand through its hyperscaler partnerships, as AI data centers become a primary driver of new nuclear power demand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Federal Register — NuScale Small Modular Reactor Design Certification, January 2023</w:t>
      </w:r>
    </w:p>
    <w:p>
      <w:pPr>
        <w:spacing w:before="20" w:after="20"/>
        <w:ind w:left="170"/>
      </w:pPr>
      <w:r>
        <w:rPr>
          <w:rFonts w:ascii="Calibri" w:hAnsi="Calibri"/>
          <w:b/>
          <w:color w:val="4A6B25"/>
          <w:sz w:val="15"/>
        </w:rPr>
        <w:t xml:space="preserve">2. </w:t>
      </w:r>
      <w:r>
        <w:rPr>
          <w:rFonts w:ascii="Calibri" w:hAnsi="Calibri"/>
          <w:b w:val="0"/>
          <w:color w:val="3A4A28"/>
          <w:sz w:val="17"/>
        </w:rPr>
        <w:t>NuScale Power — About Us and Leadership pages,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NuScale Power Q1 2026 Earnings Call Transcript, May 7, 2026</w:t>
      </w:r>
    </w:p>
    <w:p>
      <w:pPr>
        <w:spacing w:before="20" w:after="20"/>
        <w:ind w:left="170"/>
      </w:pPr>
      <w:r>
        <w:rPr>
          <w:rFonts w:ascii="Calibri" w:hAnsi="Calibri"/>
          <w:b/>
          <w:color w:val="4A6B25"/>
          <w:sz w:val="15"/>
        </w:rPr>
        <w:t xml:space="preserve">4. </w:t>
      </w:r>
      <w:r>
        <w:rPr>
          <w:rFonts w:ascii="Calibri" w:hAnsi="Calibri"/>
          <w:b w:val="0"/>
          <w:color w:val="3A4A28"/>
          <w:sz w:val="17"/>
        </w:rPr>
        <w:t>NuScale Power — Company Mission Statement, accessed May 2026</w:t>
      </w:r>
    </w:p>
    <w:p>
      <w:pPr>
        <w:spacing w:before="20" w:after="20"/>
        <w:ind w:left="170"/>
      </w:pPr>
      <w:r>
        <w:rPr>
          <w:rFonts w:ascii="Calibri" w:hAnsi="Calibri"/>
          <w:b/>
          <w:color w:val="4A6B25"/>
          <w:sz w:val="15"/>
        </w:rPr>
        <w:t xml:space="preserve">5. </w:t>
      </w:r>
      <w:r>
        <w:rPr>
          <w:rFonts w:ascii="Calibri" w:hAnsi="Calibri"/>
          <w:b w:val="0"/>
          <w:color w:val="3A4A28"/>
          <w:sz w:val="17"/>
        </w:rPr>
        <w:t>NuScale Power Q1 2026 Results Press Release, May 7, 2026</w:t>
      </w:r>
    </w:p>
    <w:p>
      <w:pPr>
        <w:spacing w:before="20" w:after="20"/>
        <w:ind w:left="170"/>
      </w:pPr>
      <w:r>
        <w:rPr>
          <w:rFonts w:ascii="Calibri" w:hAnsi="Calibri"/>
          <w:b/>
          <w:color w:val="4A6B25"/>
          <w:sz w:val="15"/>
        </w:rPr>
        <w:t xml:space="preserve">6. </w:t>
      </w:r>
      <w:r>
        <w:rPr>
          <w:rFonts w:ascii="Calibri" w:hAnsi="Calibri"/>
          <w:b w:val="0"/>
          <w:color w:val="3A4A28"/>
          <w:sz w:val="17"/>
        </w:rPr>
        <w:t>Axios Pro — NuScale's CEO talks hyperscalers, EOs and the NRC, June 2025</w:t>
      </w:r>
    </w:p>
    <w:p>
      <w:pPr>
        <w:spacing w:before="20" w:after="20"/>
        <w:ind w:left="170"/>
      </w:pPr>
      <w:r>
        <w:rPr>
          <w:rFonts w:ascii="Calibri" w:hAnsi="Calibri"/>
          <w:b/>
          <w:color w:val="4A6B25"/>
          <w:sz w:val="15"/>
        </w:rPr>
        <w:t xml:space="preserve">7. </w:t>
      </w:r>
      <w:r>
        <w:rPr>
          <w:rFonts w:ascii="Calibri" w:hAnsi="Calibri"/>
          <w:b w:val="0"/>
          <w:color w:val="3A4A28"/>
          <w:sz w:val="17"/>
        </w:rPr>
        <w:t>Oregon Capital Chronicle — The Rise and Fall of NuScale: a nuclear cautionary tale, October 2024</w:t>
      </w:r>
    </w:p>
    <w:p>
      <w:pPr>
        <w:spacing w:before="20" w:after="20"/>
        <w:ind w:left="170"/>
      </w:pPr>
      <w:r>
        <w:rPr>
          <w:rFonts w:ascii="Calibri" w:hAnsi="Calibri"/>
          <w:b/>
          <w:color w:val="4A6B25"/>
          <w:sz w:val="15"/>
        </w:rPr>
        <w:t xml:space="preserve">8. </w:t>
      </w:r>
      <w:r>
        <w:rPr>
          <w:rFonts w:ascii="Calibri" w:hAnsi="Calibri"/>
          <w:b w:val="0"/>
          <w:color w:val="3A4A28"/>
          <w:sz w:val="17"/>
        </w:rPr>
        <w:t>Environmental Working Group — Small size, big problems: NuScale's troublesome SMR plan, July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