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SM</w:t>
      </w:r>
      <w:r>
        <w:rPr>
          <w:rFonts w:ascii="Calibri" w:hAnsi="Calibri"/>
          <w:b/>
          <w:color w:val="1A2010"/>
          <w:sz w:val="40"/>
        </w:rPr>
        <w:t xml:space="preserve">  SM Energy Company</w:t>
      </w:r>
    </w:p>
    <w:p>
      <w:pPr>
        <w:spacing w:after="120"/>
      </w:pPr>
      <w:r>
        <w:rPr>
          <w:rFonts w:ascii="Calibri" w:hAnsi="Calibri"/>
          <w:b/>
          <w:color w:val="6E8450"/>
          <w:sz w:val="18"/>
        </w:rPr>
        <w:t>DIVIDEND SLEEVE · 2026-03-28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SM Energy is an independent oil and gas exploration and production company operating primarily in the Midland Basin (Permian), South Texas, and the recently acquired Uinta Basin in Utah. Founded in 1908 as St. Mary Land &amp; Exploration Company, the company focuses on developing high-return oil and gas assets with approximately 54% of production from oil.</w:t>
      </w:r>
    </w:p>
    <w:p>
      <w:r>
        <w:rPr>
          <w:rFonts w:ascii="Calibri" w:hAnsi="Calibri"/>
          <w:b/>
          <w:color w:val="6E8450"/>
          <w:sz w:val="18"/>
        </w:rPr>
        <w:t>1,241 Employees · https://www.sm-energy.com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SM Energy executed a significant portfolio transformation under CEO Vogel — the Uinta Basin acquisition expanded the company's asset base beyond the Permian and South Texas, and bottom-line growth was driven by a leadership culture that encouraged technology and innovation [2]. Revenue grew from $2.36B (2023) to $3.14B (2025) through organic growth and acquisitions. AI Deployment (1/2): SM Energy added two board members with explicit AI and technology expertise to enhance the board's capabilities at the forefront of advancing technology, but no shipping AI products or quantified AI-driven savings were cited [2]. Market Share (1/2): SM Energy is a meaningful Permian Basin operator but is far from a category leader — it competes against majors like Chevron, ExxonMobil, and larger independents like Pioneer (now ExxonMobil) and Devon Energy [2]. Pipeline (0/2): No specific next-generation products or technologies with timelines were identified beyond standard well development programs [2]. R&amp;D Intensity (1/1): The company earned Gold and Bronze Brandon Hall Group awards for innovation in building competencies, and the leadership culture's focus on technical innovation is above-average for mid-cap E&amp;P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SM Energy's stated values — 'safety, integrity, and stewardship' — are clear but generic for an E&amp;P company, interchangeable with most peers in the sector [2]. The company does not articulate a distinctive Just Cause beyond responsible resource development. Community Impact (1/2): SM Energy ties all employee compensation to environmental, health, and safety metrics, and built water handling infrastructure in Howard County to reduce emissions and truck traffic — concrete community impact beyond standard operations [3]. Employee Retention (1/2): Gold and Bronze Brandon Hall awards for leadership development suggest above-average employee investment, and the smooth CEO transition from Vogel to McDonald (promoted internally) indicates organizational stability [2]. Insider Buying (1/2): The stock rose 54.7% since the last earnings report suggesting market confidence, but no specific data on net insider buying by executives was found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SM Energy's financial profile is among the strongest in mid-cap E&amp;P. D/E of 59.3% is below the 70% target, profit margin of 21.4% exceeds the 20% target, and forward P/E of 5.8x represents extreme value [4]. ROE of 14.3% is near but slightly below the 15% target. Revenue growth is the weak point at -17.1% YoY (commodity price decline) but the 5yr CAGR of ~10.5% (from ~$1.9B in 2020 to $3.14B in 2025) is solid [1][4]. Dividend metrics are strong: 17.7% payout ratio is well below the 40% target, 33+ consecutive years paid (since 1993), and the dividend has grown aggressively from $0.02/share (2021) to $0.82/share (2025), though consecutive growth years of 4 reflects the post-2020 rebuilding. Free cash flow of $207M provides coverage. Liquidity floor easily cleared: 6.7M avg vol × $32.72 = $219.3M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SM Energy shows elements of infinite game thinking through its 118-year history, smooth leadership transition, and environmental stewardship focus, but the inherent finite nature of extracting depletable fossil fuel resources and the company's heavy dependence on commodity price cycles create tension with truly infinite game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SM Energy's cause centers on responsible resource development with a focus on safety, integrity, and stewardship, validated by zero routine flaring and methane intensity of 0.03 mT CH4/MBoe (beating its own targets) [3]. However, extracting fossil fuels is inherently finite — the resources deplete — and the company does not articulate a vision that transcends the current energy paradigm. The 118-year history (founded 1908) shows endurance, but not a cause that inspires beyond the industry. Scores 2 of 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Brandon Hall Group Gold and Bronze awards for leadership development and building competencies indicate genuine investment in people [2]. The smooth CEO transition and promotion of McDonald from within the industry (20 years at Pioneer) suggests organizational stability. Only 1,241 employees creates tight organizational cohesion, and the compensation structure tied to EHS metrics aligns incentives. Scores 1 of 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SM Energy operates in a competitive basin landscape alongside Devon Energy, Pioneer (ExxonMobil), and other Permian operators, and management language focuses on operational excellence and capital efficiency rather than market share dominance [2]. The hiring of McDonald from Pioneer explicitly acknowledges a rival's strength in Permian operations. Scores 1 of 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SM Energy remains fundamentally the same type of company it was decades ago — an oil and gas E&amp;P operator. The geographic expansion from South Texas to the Permian to the Uinta Basin represents asset diversification but not business model transformation [2]. No evidence of pivoting toward renewable energy, carbon capture, or alternative business models. Scores 0 of 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Uinta Basin acquisition represented a bold portfolio expansion bet during uncertainty, and the decision to dramatically increase the dividend from $0.02 to $0.82/share (2021-2025) demonstrated shareholder commitment [1][2]. CEO Vogel's retirement with a smooth internal transition to Elizabeth McDonald (formerly Pioneer Natural Resources EVP) shows succession planning discipline. Scores 1 of 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SM Energy trades at just 5.8x forward P/E with a fortress balance sheet (D/E 59.3%), 21.4% profit margins, and a rapidly growing dividend (from $0.02 to $0.82/share in four years) at a 17.7% payout ratio that leaves substantial room for further increases [4]. The company beat Q4 2025 EPS estimates by 5% despite commodity headwinds, driven by operational efficiency and lower operating expenses [1]. 2026 production guidance of 146-153 MMBoe (~54% oil) from premium Permian Basin and Uinta Basin assets provides multi-year inventory depth, and the smooth CEO transition to Elizabeth McDonald (20 years at Pioneer) brings proven Permian expertise [2]. The stock rose 54.7% since the last earnings report, signaling market recognition of the value proposition [1].</w:t>
      </w:r>
    </w:p>
    <w:p>
      <w:pPr>
        <w:spacing w:after="120"/>
      </w:pPr>
      <w:r>
        <w:rPr>
          <w:rFonts w:ascii="Calibri" w:hAnsi="Calibri"/>
          <w:b w:val="0"/>
          <w:color w:val="3A4A28"/>
          <w:sz w:val="20"/>
        </w:rPr>
        <w:t>The bear case centers on commodity price exposure and secular energy transition risk. Revenue declined 17.1% YoY on lower realized commodity prices, and analyst forecasts project -13.9% earnings growth in 2026 — underperforming the E&amp;P industry average of 15.7% [1]. Capital expenditures of $2.65-2.85B for 2026 are substantial relative to the $3.1B revenue base, leaving modest free cash flow of ~$207M [1]. The oil and gas industry faces long-term demand uncertainty as electrification and EV adoption accelerate, and SM Energy has no renewable energy or carbon capture strategy beyond operational emissions reduction [3]. The Uinta Basin acquisition added geographic diversification but also waxy crude oil complexity and pipeline constraints. Total debt of $2.85B requires sustained commodity prices to service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CEO transition to Elizabeth McDonald (ex-Pioneer EVP) brings proven Permian Basin operational expertise and fresh strategic perspective to the 118-year-old company [2]</w:t>
      </w:r>
    </w:p>
    <w:p>
      <w:pPr>
        <w:spacing w:before="40" w:after="40"/>
        <w:ind w:left="283"/>
      </w:pPr>
      <w:r>
        <w:rPr>
          <w:rFonts w:ascii="Calibri" w:hAnsi="Calibri"/>
          <w:b/>
          <w:color w:val="4A6B25"/>
          <w:sz w:val="20"/>
        </w:rPr>
        <w:t xml:space="preserve">2. </w:t>
      </w:r>
      <w:r>
        <w:rPr>
          <w:rFonts w:ascii="Calibri" w:hAnsi="Calibri"/>
          <w:b w:val="0"/>
          <w:color w:val="3A4A28"/>
          <w:sz w:val="20"/>
        </w:rPr>
        <w:t>2026 production guidance of 146-153 MMBoe with ~54% oil weighting positions the company to benefit from any oil price recovery [1]</w:t>
      </w:r>
    </w:p>
    <w:p>
      <w:pPr>
        <w:spacing w:before="40" w:after="40"/>
        <w:ind w:left="283"/>
      </w:pPr>
      <w:r>
        <w:rPr>
          <w:rFonts w:ascii="Calibri" w:hAnsi="Calibri"/>
          <w:b/>
          <w:color w:val="4A6B25"/>
          <w:sz w:val="20"/>
        </w:rPr>
        <w:t xml:space="preserve">3. </w:t>
      </w:r>
      <w:r>
        <w:rPr>
          <w:rFonts w:ascii="Calibri" w:hAnsi="Calibri"/>
          <w:b w:val="0"/>
          <w:color w:val="3A4A28"/>
          <w:sz w:val="20"/>
        </w:rPr>
        <w:t>Dividend growth trajectory — from $0.02/share (2021) to $0.82/share (2025) with a 17.7% payout ratio leaving significant room for continued increases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dependence — revenue declined 17.1% YoY on lower realized prices, and analyst forecasts project -13.9% EPS growth in 2026 against the E&amp;P industry's +15.7% average [1]</w:t>
      </w:r>
    </w:p>
    <w:p>
      <w:pPr>
        <w:spacing w:before="40" w:after="40"/>
        <w:ind w:left="283"/>
      </w:pPr>
      <w:r>
        <w:rPr>
          <w:rFonts w:ascii="Calibri" w:hAnsi="Calibri"/>
          <w:b/>
          <w:color w:val="4A6B25"/>
          <w:sz w:val="20"/>
        </w:rPr>
        <w:t xml:space="preserve">2. </w:t>
      </w:r>
      <w:r>
        <w:rPr>
          <w:rFonts w:ascii="Calibri" w:hAnsi="Calibri"/>
          <w:b w:val="0"/>
          <w:color w:val="3A4A28"/>
          <w:sz w:val="20"/>
        </w:rPr>
        <w:t>Capital intensity — $2.65-2.85B capex against $3.1B revenue leaves modest free cash flow and limited margin of safety if commodity prices decline further [1]</w:t>
      </w:r>
    </w:p>
    <w:p>
      <w:pPr>
        <w:spacing w:before="40" w:after="40"/>
        <w:ind w:left="283"/>
      </w:pPr>
      <w:r>
        <w:rPr>
          <w:rFonts w:ascii="Calibri" w:hAnsi="Calibri"/>
          <w:b/>
          <w:color w:val="4A6B25"/>
          <w:sz w:val="20"/>
        </w:rPr>
        <w:t xml:space="preserve">3. </w:t>
      </w:r>
      <w:r>
        <w:rPr>
          <w:rFonts w:ascii="Calibri" w:hAnsi="Calibri"/>
          <w:b w:val="0"/>
          <w:color w:val="3A4A28"/>
          <w:sz w:val="20"/>
        </w:rPr>
        <w:t>Energy transition secular risk — no renewable energy strategy beyond operational emissions reduction, with long-term oil demand uncertainty from EV adoption and electrification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SM Energy's core business — drilling oil and gas wells in the Permian Basin and Uinta Basin — is fundamentally physical and cannot be replaced by AI. Oil and gas E&amp;P requires geological expertise, physical drilling infrastructure, regulatory permitting, and land rights that AI structurally cannot displace [2]. AI data center buildouts are actually increasing electricity and natural gas demand, creating a tailwind for E&amp;P producers. The commodity nature of oil and gas provides price transparency that limits AI intermediation risk. AI Opportunity (0/1): No evidence of AI-generated revenue. While SM Energy added AI expertise to its board, the company does not sell AI products or quantify AI-driven operational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SM Energy Q4 2025 Earnings Release — EPS $0.83 (beat by 5%), $705M revenue, 2026 production guidance 146-153 MMBoe, February 2026</w:t>
      </w:r>
    </w:p>
    <w:p>
      <w:pPr>
        <w:spacing w:before="20" w:after="20"/>
        <w:ind w:left="170"/>
      </w:pPr>
      <w:r>
        <w:rPr>
          <w:rFonts w:ascii="Calibri" w:hAnsi="Calibri"/>
          <w:b/>
          <w:color w:val="4A6B25"/>
          <w:sz w:val="15"/>
        </w:rPr>
        <w:t xml:space="preserve">2. </w:t>
      </w:r>
      <w:r>
        <w:rPr>
          <w:rFonts w:ascii="Calibri" w:hAnsi="Calibri"/>
          <w:b w:val="0"/>
          <w:color w:val="3A4A28"/>
          <w:sz w:val="17"/>
        </w:rPr>
        <w:t>SM Energy leadership transition — CEO Vogel retirement March 2026, Elizabeth McDonald appointed, Brandon Hall awards, board AI expertise additions, 2025-2026</w:t>
      </w:r>
    </w:p>
    <w:p>
      <w:pPr>
        <w:spacing w:before="20" w:after="20"/>
        <w:ind w:left="170"/>
      </w:pPr>
      <w:r>
        <w:rPr>
          <w:rFonts w:ascii="Calibri" w:hAnsi="Calibri"/>
          <w:b/>
          <w:color w:val="4A6B25"/>
          <w:sz w:val="15"/>
        </w:rPr>
        <w:t xml:space="preserve">3. </w:t>
      </w:r>
      <w:r>
        <w:rPr>
          <w:rFonts w:ascii="Calibri" w:hAnsi="Calibri"/>
          <w:b w:val="0"/>
          <w:color w:val="3A4A28"/>
          <w:sz w:val="17"/>
        </w:rPr>
        <w:t>SM Energy sustainability disclosures — zero routine flaring, methane intensity 0.03 mT CH4/MBoe, water infrastructure, EHS-linked compensation,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SM (SM Energy),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