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SNDR</w:t>
      </w:r>
      <w:r>
        <w:rPr>
          <w:rFonts w:ascii="Calibri" w:hAnsi="Calibri"/>
          <w:b/>
          <w:color w:val="1A2010"/>
          <w:sz w:val="40"/>
        </w:rPr>
        <w:t xml:space="preserve">  Schneider National, Inc.</w:t>
      </w:r>
    </w:p>
    <w:p>
      <w:pPr>
        <w:spacing w:after="120"/>
      </w:pPr>
      <w:r>
        <w:rPr>
          <w:rFonts w:ascii="Calibri" w:hAnsi="Calibri"/>
          <w:b/>
          <w:color w:val="6E8450"/>
          <w:sz w:val="18"/>
        </w:rPr>
        <w:t>GROWTH SLEEVE · 2026-05-06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NYSE · United States</w:t>
      </w:r>
    </w:p>
    <w:p>
      <w:pPr>
        <w:spacing w:after="80"/>
      </w:pPr>
      <w:r>
        <w:rPr>
          <w:rFonts w:ascii="Calibri" w:hAnsi="Calibri"/>
          <w:b w:val="0"/>
          <w:color w:val="3A4A28"/>
          <w:sz w:val="20"/>
        </w:rPr>
        <w:t>Schneider National, Inc. provides multimodal surface transportation and logistics solutions across the United States, Canada, and Mexico through three segments: Truckload (dry van, bulk, temperature-controlled, flatbed), Intermodal (door-to-door container on flat car via rail and dray), and Logistics (freight brokerage, supply chain, warehousing). Founded in 1935 and headquartered in Green Bay, Wisconsin.</w:t>
      </w:r>
    </w:p>
    <w:p>
      <w:r>
        <w:rPr>
          <w:rFonts w:ascii="Calibri" w:hAnsi="Calibri"/>
          <w:b/>
          <w:color w:val="6E8450"/>
          <w:sz w:val="18"/>
        </w:rPr>
        <w:t>19,000 Employees · https://schneider.com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Schneider operates in a capital-intensive, low-margin trucking industry where differentiation comes primarily through operational efficiency rather than proprietary technology[1]. The company's intermodal segment — combining rail and dray transportation — represents a structural innovation over pure truckload, offering customers lower-cost, lower-emission freight options. However, Schneider lacks the technology platform advantages of freight-tech leaders like C.H. Robinson's Navisphere, and its truckload revenue growth of just 1% in Q1 2026 signals incremental rather than breakthrough innovation[1].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Mark Rourke is only the 4th chief executive in Schneider's 91-year history, reflecting the Schneider family's commitment to leadership continuity and long-term stewardship[3]. The company's executive team received a C+ rating on Comparably, placing it in the top 50% of similarly-sized companies — respectable for a trucking company but unremarkable overall[3]. The 19,000-employee workforce benefits from the company's family-founded heritage and Green Bay, Wisconsin roots, though trucking industry-wide driver retention challenges persist.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Schneider's financials reflect the painful trucking downcycle — revenue declined from $6.6B in 2022 to $5.7B in 2025 (5-year CAGR of -4.9%), while EPS collapsed from $2.57 to $0.59 over the same period[2]. Profit margins are razor-thin at 1.7% and ROE is an anemic 3.3%, both well below targets. The one bright spot is near-zero leverage (D/E 13.2%) and a forward P/E of 20.0, suggesting the market expects a cyclical recovery. However, the PEG ratio of 4.51 indicates the current valuation provides little margin of safety relative to growth prospects[2].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Schneider National's 91-year history as a family-founded transportation company exemplifies infinite game durability, having survived deregulation, multiple freight recessions, and the rise of asset-light logistics. The company's willingness to invest in intermodal and logistics segments beyond its truckload roots shows strategic adaptability, though the cyclical commoditized nature of trucking constrains its ability to play a truly infinite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Schneider's cause — keeping America's supply chains moving safely and sustainably through multimodal transportation — has genuine staying power, reinforced by 91 years of continuous operation and the Schneider family's enduring stewardship[3]. The company's sustainability initiatives around intermodal (lower emissions per ton-mile) connect its mission to environmental purpose beyond pure commerce[5].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Schneider's C+ executive team rating on Comparably reflects the industry-wide challenge of building high-trust cultures in trucking, where driver turnover industry-wide exceeds 80% annually[3]. Mark Rourke has emphasized a culture of competing with innovation, operating with discipline, and collaborating with customers, though the company's 19,000 employees face the typical trucking industry strains on work-life balance and career development.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Schneider competes against J.B. Hunt (the intermodal market leader), XPO Logistics, Werner Enterprises, and Knight-Swift, and has demonstrably used J.B. Hunt's intermodal dominance as motivation to build its own competitive intermodal offering[1]. The company's three-segment model (Truckload, Intermodal, Logistics) reflects lessons learned from watching rivals diversify beyond pure truckload.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Schneider's evolution from a pure truckload carrier to a multimodal transportation and logistics company — with intermodal and asset-light logistics segments — demonstrates meaningful existential flexibility over decades[1]. However, the company remains fundamentally a trucking company and has not made the bold bets into technology or adjacent markets that would signal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Schneider has shown measured courage in investing in intermodal capacity and logistics capabilities during freight downturns, maintaining capital discipline with near-zero debt while competitors leveraged up[2]. The Q1 2026 decision to maintain full-year EPS guidance of $0.70-1.00 despite flat revenue shows confidence, though the company operates more as a disciplined steward than a bold disruptor.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Schneider National is a well-managed, conservatively financed trucking and logistics company positioned to benefit from the eventual freight cycle recovery, with near-zero leverage (D/E 13.2%) and $265M cash providing ballast during the current downturn[2]. Q1 2026 adjusted EPS of $0.12 beat the $0.10 consensus, and the company reaffirmed full-year guidance of $0.70-1.00, with truckload revenue ex-fuel rising 1% despite headwinds[1]. The multimodal platform — truckload, intermodal, and logistics — provides diversified exposure to freight recovery, and the forward P/E of 20.0 appears reasonable for a cyclical trough if earnings normalize toward historical levels.</w:t>
      </w:r>
    </w:p>
    <w:p>
      <w:pPr>
        <w:spacing w:after="120"/>
      </w:pPr>
      <w:r>
        <w:rPr>
          <w:rFonts w:ascii="Calibri" w:hAnsi="Calibri"/>
          <w:b w:val="0"/>
          <w:color w:val="3A4A28"/>
          <w:sz w:val="20"/>
        </w:rPr>
        <w:t>The bear case is severe for current fundamentals: EPS has collapsed 77% from $2.57 in 2022 to $0.59 in 2025, profit margins sit at just 1.7%, and ROE is an anemic 3.3% — all reflecting the worst freight recession in years[2]. Revenue has declined for three consecutive years from the 2022 peak of $6.6B. The PEG ratio of 4.51 suggests the market already prices in a recovery, limiting upside surprise potential. Most critically, autonomous trucking poses an existential 10-15 year threat to Schneider's asset-heavy, driver-dependent business model, and the logistics segment's 6% revenue decline in Q1 2026 shows vulnerability even in asset-light operations[1].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cycle recovery: truckload revenue ex-fuel grew 1% in Q1 2026 despite industry headwinds, with operating ratio improvements as capacity tightens[1]</w:t>
      </w:r>
    </w:p>
    <w:p>
      <w:pPr>
        <w:spacing w:before="40" w:after="40"/>
        <w:ind w:left="283"/>
      </w:pPr>
      <w:r>
        <w:rPr>
          <w:rFonts w:ascii="Calibri" w:hAnsi="Calibri"/>
          <w:b/>
          <w:color w:val="4A6B25"/>
          <w:sz w:val="20"/>
        </w:rPr>
        <w:t xml:space="preserve">2. </w:t>
      </w:r>
      <w:r>
        <w:rPr>
          <w:rFonts w:ascii="Calibri" w:hAnsi="Calibri"/>
          <w:b w:val="0"/>
          <w:color w:val="3A4A28"/>
          <w:sz w:val="20"/>
        </w:rPr>
        <w:t>Intermodal segment offers structural cost and emissions advantages that could gain share as shippers prioritize sustainability and cost reduction</w:t>
      </w:r>
    </w:p>
    <w:p>
      <w:pPr>
        <w:spacing w:before="40" w:after="40"/>
        <w:ind w:left="283"/>
      </w:pPr>
      <w:r>
        <w:rPr>
          <w:rFonts w:ascii="Calibri" w:hAnsi="Calibri"/>
          <w:b/>
          <w:color w:val="4A6B25"/>
          <w:sz w:val="20"/>
        </w:rPr>
        <w:t xml:space="preserve">3. </w:t>
      </w:r>
      <w:r>
        <w:rPr>
          <w:rFonts w:ascii="Calibri" w:hAnsi="Calibri"/>
          <w:b w:val="0"/>
          <w:color w:val="3A4A28"/>
          <w:sz w:val="20"/>
        </w:rPr>
        <w:t>Near-zero debt (D/E 13.2%) and $265M cash position the company to acquire distressed competitors or invest in technology during the downturn[2]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EPS collapsed 77% from $2.57 (2022) to $0.59 (2025) with profit margins at 1.7%, reflecting deep freight cycle trough conditions that may persist[2]</w:t>
      </w:r>
    </w:p>
    <w:p>
      <w:pPr>
        <w:spacing w:before="40" w:after="40"/>
        <w:ind w:left="283"/>
      </w:pPr>
      <w:r>
        <w:rPr>
          <w:rFonts w:ascii="Calibri" w:hAnsi="Calibri"/>
          <w:b/>
          <w:color w:val="4A6B25"/>
          <w:sz w:val="20"/>
        </w:rPr>
        <w:t xml:space="preserve">2. </w:t>
      </w:r>
      <w:r>
        <w:rPr>
          <w:rFonts w:ascii="Calibri" w:hAnsi="Calibri"/>
          <w:b w:val="0"/>
          <w:color w:val="3A4A28"/>
          <w:sz w:val="20"/>
        </w:rPr>
        <w:t>Autonomous trucking technology from Aurora, Waymo, and others poses a 10-15 year existential threat to Schneider's driver-dependent, asset-heavy business model</w:t>
      </w:r>
    </w:p>
    <w:p>
      <w:pPr>
        <w:spacing w:before="40" w:after="40"/>
        <w:ind w:left="283"/>
      </w:pPr>
      <w:r>
        <w:rPr>
          <w:rFonts w:ascii="Calibri" w:hAnsi="Calibri"/>
          <w:b/>
          <w:color w:val="4A6B25"/>
          <w:sz w:val="20"/>
        </w:rPr>
        <w:t xml:space="preserve">3. </w:t>
      </w:r>
      <w:r>
        <w:rPr>
          <w:rFonts w:ascii="Calibri" w:hAnsi="Calibri"/>
          <w:b w:val="0"/>
          <w:color w:val="3A4A28"/>
          <w:sz w:val="20"/>
        </w:rPr>
        <w:t>Logistics segment revenue declined 6% in Q1 2026 due to lower brokerage volumes, suggesting competitive pressure even in asset-light operations[1]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Autonomous trucking represents a significant long-term disruption threat to Schneider's core truckload business, with companies like Aurora, Waymo, and TuSimple developing Level 4 self-driving truck technology that could fundamentally reduce the industry's dependence on human drivers — Schneider's largest cost center[3]. In the near term, AI enables operational efficiency through route optimization, predictive maintenance, and freight matching. However, Schneider's asset-heavy business model with 19,000 employees makes it structurally more vulnerable to autonomous disruption than asset-light logistics competitors. The 10-15 year timeline for widespread autonomous adoption provides a window but not immunity.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Schneider National Q1 2026 Earnings Release and Earnings Call, April-May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SNDR key statistics and financials,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Comparably — Schneider National executive team and culture ratings; Schneider CEO history</w:t>
      </w:r>
    </w:p>
    <w:p>
      <w:pPr>
        <w:spacing w:before="20" w:after="20"/>
        <w:ind w:left="170"/>
      </w:pPr>
      <w:r>
        <w:rPr>
          <w:rFonts w:ascii="Calibri" w:hAnsi="Calibri"/>
          <w:b/>
          <w:color w:val="4A6B25"/>
          <w:sz w:val="15"/>
        </w:rPr>
        <w:t xml:space="preserve">4. </w:t>
      </w:r>
      <w:r>
        <w:rPr>
          <w:rFonts w:ascii="Calibri" w:hAnsi="Calibri"/>
          <w:b w:val="0"/>
          <w:color w:val="3A4A28"/>
          <w:sz w:val="17"/>
        </w:rPr>
        <w:t>Glassdoor — Schneider employee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Schneider National Corporate Responsibility and Sustainability Reports, 2024-2025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