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SNDX</w:t>
      </w:r>
      <w:r>
        <w:rPr>
          <w:rFonts w:ascii="Calibri" w:hAnsi="Calibri"/>
          <w:b/>
          <w:color w:val="1A2010"/>
          <w:sz w:val="40"/>
        </w:rPr>
        <w:t xml:space="preserve">  Syndax Pharmaceuticals, Inc.</w:t>
      </w:r>
    </w:p>
    <w:p>
      <w:pPr>
        <w:spacing w:after="120"/>
      </w:pPr>
      <w:r>
        <w:rPr>
          <w:rFonts w:ascii="Calibri" w:hAnsi="Calibri"/>
          <w:b/>
          <w:color w:val="6E8450"/>
          <w:sz w:val="18"/>
        </w:rPr>
        <w:t>GROWTH SLEEVE · 2026-04-28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Syndax Pharmaceuticals is a commercial-stage biopharmaceutical company developing therapies for cancer treatment. Its lead products are Revuforj (revumenib), a menin inhibitor for relapsed or refractory acute leukemia, and Niktimvo (axatilimab-csfr), a CSF-1 receptor blocking antibody for chronic graft-versus-host disease. Both products received FDA approval and launched commercially in 2024-2025.</w:t>
      </w:r>
    </w:p>
    <w:p>
      <w:r>
        <w:rPr>
          <w:rFonts w:ascii="Calibri" w:hAnsi="Calibri"/>
          <w:b/>
          <w:color w:val="6E8450"/>
          <w:sz w:val="18"/>
        </w:rPr>
        <w:t>298 Employees · https://syndax.com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Syndax has achieved a meaningful transformation from clinical-stage to commercial-stage company within the last two years, winning FDA approval for both Revuforj (revumenib) and Niktimvo (axatilimab) — two novel mechanisms of action in oncology and transplant medicine [1]. Revuforj is a first-in-class menin inhibitor that represents a genuinely new approach to treating KMT2A-rearranged acute leukemia. AI Deployment (0/2): No evidence of AI-powered products shipping or meaningful AI-driven internal efficiencies was found in web searches; Syndax is a small biotech focused on clinical development and early commercialization [2]. Market Share (1/2): Syndax holds a unique position as the first-mover with an approved menin inhibitor for KMT2A-rearranged leukemia, a niche but meaningful category. However, competitors including Ziftomenib from Kura Oncology are advancing in the menin inhibitor space [1]. Product Pipeline (1/2): Syndax has additional pipeline programs and is expanding Revuforj into earlier-line leukemia settings, but specific next-generation product launch dates with revenue visibility beyond current indications remain general [1]. R&amp;D Intensity (1/1): R&amp;D spending is heavy relative to revenue, characteristic of an early-commercial biotech investing in pipeline expansion and label-broadening trials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Syndax's purpose centers on developing innovative cancer therapies to make a difference for patients — a clear articulation that identifies the disease area and patient benefit, but not distinctively different from the standard biotech mission statement [2]. Community Impact (1/2): As a small commercial-stage biotech with 298 employees, Syndax has limited scale for major philanthropic programs, though the company has received recognition including the J.P. Morgan Healthcare Innovation award and ASCO Cello award, reflecting industry respect for its scientific contributions [2]. Patient access programs are expected for its oncology products. Employee Retention (1/2): Syndax's culture emphasizes collaboration, scientific innovation, and patient-centricity. The leadership team includes CEO Arlene Morris and President Briggs Morrison, providing experienced leadership, though the company is still small enough that retention data is not publicly reported [2]. Insider Buying (1/2): Insider transaction data for Syndax shows typical biotech insider activity with no standout patterns of significant net buying or selling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Syndax's Infrastructure score reflects the financial profile of an early-commercial biotech that has not yet reached profitability. D/E of 534.5% is far above the 300% floor (score 0), reflecting the substantial debt accumulated during clinical development [4]. ROE of -161.8% is deeply negative (score 0), and profit margin of -165.6% reflects that operating expenses significantly exceed revenue as the company invests heavily in commercialization and pipeline development [4]. Revenue growth YoY of 794.9% scores perfectly (1.0) as the company ramped from $23.7M in 2024 to $172.4M in 2025, driven by Revuforj's $124.8M in net revenue [1]. Forward P/E, PEG ratio, and 5-year revenue CAGR are excluded as unavailable or meaningless (negative forward PE, zero revenue base in prior years) [4]. Liquidity floor cleared: 1.41M avg volume x $21.00 = $29.7M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Syndax demonstrates a purpose-driven approach to oncology drug development, with genuine commitment to advancing novel cancer therapies in underserved patient populations like KMT2A-rearranged leukemia and chronic GVHD. However, as a small early-commercial biotech, it has limited organizational history to demonstrate the kind of multi-decade cause consistency and existential flexibility that characterize strong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Syndax's purpose — developing innovative cancer therapies for patients with limited treatment options — is genuine and connects the company's work to meaningful patient outcomes. The focus on underserved indications like KMT2A-rearranged acute leukemia and chronic GVHD demonstrates intentionality beyond simply pursuing large markets [1]. However, this cause is standard for oncology biotechs and has not been tested through decades of consistent execution or market cycles. The company is too young in its commercial life to have validated its cause through adversity.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Syndax describes a collaborative, patient-centric culture with emphasis on scientific innovation and teamwork [2]. CEO Arlene Morris and President Briggs Morrison provide experienced leadership. At 298 employees, the company is small enough to maintain direct organizational trust, but there is limited public evidence of exceptional trust metrics like turnover data or employee tenure statistics. The company has recently strengthened its leadership team in commercial and financial roles as it transitions to a commercial-stage organization [2].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Syndax operates in the competitive oncology space alongside Kura Oncology (ziftomenib) in the menin inhibitor category and acknowledges the competitive dynamics without framing them as wars to win [1]. The company's focus on its own scientific innovation and patient outcomes rather than competitor destruction reflects an appropriate competitive mindset for an emerging biotech.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early-commercial biotech, Syndax has not yet faced the kind of existential strategic test that this dimension evaluates. The company has evolved from clinical-stage to commercial-stage, but this is the expected lifecycle progression for a successful biotech, not a transformative reinvention driven by a Just Cause [1]. The company is too young in its commercial evolution to have demonstrated the willingness to abandon a profitable core business in service of a larger purpose.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Syndax has shown some courage in pursuing first-in-class mechanisms in challenging oncology indications rather than following established therapeutic pathways. The decision to develop a menin inhibitor when the target was novel and unvalidated required conviction, and the simultaneous development of axatilimab for chronic GVHD demonstrates willingness to pursue multiple innovative programs despite limited resources [1]. However, these are expected risk-taking behaviors for a biotech and do not represent the kind of costly long-term sacrifice that Sinek's framework demands.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Syndax is in the early stages of a promising commercial ramp with Revuforj (revumenib) generating $124.8M in FY2025 net revenue and Q4 revenue of $44.2M representing 38% sequential growth [1]. Analyst consensus projects $376.6M in 2026 revenue, a 238% increase, as Revuforj gains traction in relapsed/refractory KMT2A-rearranged acute leukemia and Niktimvo generates collaboration revenue for chronic GVHD [1]. Both products address underserved patient populations with novel mechanisms of action — Revuforj as a first-in-class menin inhibitor and Niktimvo as a CSF-1 receptor blocker — creating defensible market positions. Management expects existing cash, product revenue, and collaboration income to fund operations to profitability, eliminating near-term dilution risk [1].</w:t>
      </w:r>
    </w:p>
    <w:p>
      <w:pPr>
        <w:spacing w:after="120"/>
      </w:pPr>
      <w:r>
        <w:rPr>
          <w:rFonts w:ascii="Calibri" w:hAnsi="Calibri"/>
          <w:b w:val="0"/>
          <w:color w:val="3A4A28"/>
          <w:sz w:val="20"/>
        </w:rPr>
        <w:t>The bear case for Syndax centers on the fundamental challenges of an early-commercial biotech with deeply negative financials. Net loss was $285M in FY2025 on just $172M in revenue, with D/E of 534% and profit margin of -166% reflecting the company's pre-profitability investment phase [4]. The path to profitability requires sustained revenue acceleration while controlling the $400M guided 2026 expense base (excluding $50M stock comp) [1]. Competition in the menin inhibitor space is intensifying, with Kura Oncology's ziftomenib advancing and potentially offering comparable efficacy with a differentiated safety profile. Revuforj's current approval is limited to relapsed/refractory patients, a small addressable market — expansion into earlier-line settings is essential but uncertain. At $1.85B market cap with no near-term profitability, the stock is priced for execution, and any clinical setback in label expansion or competitive loss would severely impact valuation [4]. The negative forward P/E of -41x underscores that analysts do not expect GAAP profitability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 consensus for $376.6M in 2026 revenue representing 238% growth, driven by accelerating Revuforj commercial uptake and Niktimvo collaboration revenue scaling [1]</w:t>
      </w:r>
    </w:p>
    <w:p>
      <w:pPr>
        <w:spacing w:before="40" w:after="40"/>
        <w:ind w:left="283"/>
      </w:pPr>
      <w:r>
        <w:rPr>
          <w:rFonts w:ascii="Calibri" w:hAnsi="Calibri"/>
          <w:b/>
          <w:color w:val="4A6B25"/>
          <w:sz w:val="20"/>
        </w:rPr>
        <w:t xml:space="preserve">2. </w:t>
      </w:r>
      <w:r>
        <w:rPr>
          <w:rFonts w:ascii="Calibri" w:hAnsi="Calibri"/>
          <w:b w:val="0"/>
          <w:color w:val="3A4A28"/>
          <w:sz w:val="20"/>
        </w:rPr>
        <w:t>Potential label expansion of Revuforj into earlier-line acute leukemia settings, which would significantly expand the addressable patient population beyond the current relapsed/refractory indication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on existing cash and revenue — management expects to reach breakeven without additional dilutive financing, a key milestone for small-cap biotech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Menin inhibitor competition from Kura Oncology's ziftomenib and other pipeline programs could erode Revuforj's first-mover advantage in KMT2A-rearranged leukemia before the market fully develops [1]</w:t>
      </w:r>
    </w:p>
    <w:p>
      <w:pPr>
        <w:spacing w:before="40" w:after="40"/>
        <w:ind w:left="283"/>
      </w:pPr>
      <w:r>
        <w:rPr>
          <w:rFonts w:ascii="Calibri" w:hAnsi="Calibri"/>
          <w:b/>
          <w:color w:val="4A6B25"/>
          <w:sz w:val="20"/>
        </w:rPr>
        <w:t xml:space="preserve">2. </w:t>
      </w:r>
      <w:r>
        <w:rPr>
          <w:rFonts w:ascii="Calibri" w:hAnsi="Calibri"/>
          <w:b w:val="0"/>
          <w:color w:val="3A4A28"/>
          <w:sz w:val="20"/>
        </w:rPr>
        <w:t>Deeply negative financial profile with D/E of 534%, net loss of $285M, and $400M guided 2026 expenses creates execution risk if revenue ramp falls short of projections [4]</w:t>
      </w:r>
    </w:p>
    <w:p>
      <w:pPr>
        <w:spacing w:before="40" w:after="40"/>
        <w:ind w:left="283"/>
      </w:pPr>
      <w:r>
        <w:rPr>
          <w:rFonts w:ascii="Calibri" w:hAnsi="Calibri"/>
          <w:b/>
          <w:color w:val="4A6B25"/>
          <w:sz w:val="20"/>
        </w:rPr>
        <w:t xml:space="preserve">3. </w:t>
      </w:r>
      <w:r>
        <w:rPr>
          <w:rFonts w:ascii="Calibri" w:hAnsi="Calibri"/>
          <w:b w:val="0"/>
          <w:color w:val="3A4A28"/>
          <w:sz w:val="20"/>
        </w:rPr>
        <w:t>Narrow commercial portfolio — two products in niche indications (relapsed/refractory leukemia and chronic GVHD) with limited revenue diversification creates concentrated clinical and commercial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Syndax's core business — developing, manufacturing, and commercializing novel cancer therapeutics — is strongly protected from AI disruption. The company's competitive moat rests on proprietary small-molecule and antibody drug programs, FDA-approved manufacturing processes, complex clinical trial expertise in hematologic malignancies, and regulatory exclusivity for first-in-class menin inhibitor Revuforj [1]. Drug discovery, clinical development, and manufacturing are physical-world, heavily regulated processes with enormous barriers to entry that AI cannot substitute. However, AI-enabled drug discovery could accelerate competitor development timelines in adjacent oncology targets [2]. AI Opportunity (0/1): No evidence of meaningful AI-generated revenue was found. Syndax is a small, 298-employee biotech focused on clinical development and early-stage commercialization, and does not appear to have deployed AI as a revenue-generating product or quantified internal AI-driven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Syndax Q4/FY2025 Earnings Release — $172.4M total revenue, Revuforj $124.8M net revenue (Q4 $44.2M, +38% sequential), 2026 expense guidance ~$400M, path to profitability; February 2026</w:t>
      </w:r>
    </w:p>
    <w:p>
      <w:pPr>
        <w:spacing w:before="20" w:after="20"/>
        <w:ind w:left="170"/>
      </w:pPr>
      <w:r>
        <w:rPr>
          <w:rFonts w:ascii="Calibri" w:hAnsi="Calibri"/>
          <w:b/>
          <w:color w:val="4A6B25"/>
          <w:sz w:val="15"/>
        </w:rPr>
        <w:t xml:space="preserve">2. </w:t>
      </w:r>
      <w:r>
        <w:rPr>
          <w:rFonts w:ascii="Calibri" w:hAnsi="Calibri"/>
          <w:b w:val="0"/>
          <w:color w:val="3A4A28"/>
          <w:sz w:val="17"/>
        </w:rPr>
        <w:t>Syndax leadership and culture — CEO Arlene Morris, President Briggs Morrison, J.P. Morgan Healthcare Innovation award, collaborative patient-centric culture; Comparably, Syndax corporate website, 2024-2026</w:t>
      </w:r>
    </w:p>
    <w:p>
      <w:pPr>
        <w:spacing w:before="20" w:after="20"/>
        <w:ind w:left="170"/>
      </w:pPr>
      <w:r>
        <w:rPr>
          <w:rFonts w:ascii="Calibri" w:hAnsi="Calibri"/>
          <w:b/>
          <w:color w:val="4A6B25"/>
          <w:sz w:val="15"/>
        </w:rPr>
        <w:t xml:space="preserve">3. </w:t>
      </w:r>
      <w:r>
        <w:rPr>
          <w:rFonts w:ascii="Calibri" w:hAnsi="Calibri"/>
          <w:b w:val="0"/>
          <w:color w:val="3A4A28"/>
          <w:sz w:val="17"/>
        </w:rPr>
        <w:t>Syndax ESG — Sustainalytics ESG Risk Rating assessment (weak management of ESG risk), no major controversies identified; February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SNDX (Syndax Pharmaceuticals),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