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SNY</w:t>
      </w:r>
      <w:r>
        <w:rPr>
          <w:rFonts w:ascii="Calibri" w:hAnsi="Calibri"/>
          <w:b/>
          <w:color w:val="1A2010"/>
          <w:sz w:val="40"/>
        </w:rPr>
        <w:t xml:space="preserve">  Sanofi</w:t>
      </w:r>
    </w:p>
    <w:p>
      <w:pPr>
        <w:spacing w:after="120"/>
      </w:pPr>
      <w:r>
        <w:rPr>
          <w:rFonts w:ascii="Calibri" w:hAnsi="Calibri"/>
          <w:b/>
          <w:color w:val="6E8450"/>
          <w:sz w:val="18"/>
        </w:rPr>
        <w:t>DIVIDEND SLEEVE · 2026-04-02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France</w:t>
      </w:r>
    </w:p>
    <w:p>
      <w:pPr>
        <w:spacing w:after="80"/>
      </w:pPr>
      <w:r>
        <w:rPr>
          <w:rFonts w:ascii="Calibri" w:hAnsi="Calibri"/>
          <w:b w:val="0"/>
          <w:color w:val="3A4A28"/>
          <w:sz w:val="20"/>
        </w:rPr>
        <w:t>Sanofi is a global pharmaceutical and healthcare company focused on immunology (Dupixent), rare diseases, neurology, oncology, and vaccines. The company operates in over 100 countries with a pipeline of 94 projects including 44 potential new medicines and vaccines.</w:t>
      </w:r>
    </w:p>
    <w:p>
      <w:r>
        <w:rPr>
          <w:rFonts w:ascii="Calibri" w:hAnsi="Calibri"/>
          <w:b/>
          <w:color w:val="6E8450"/>
          <w:sz w:val="18"/>
        </w:rPr>
        <w:t>74,846 Employees · https://www.sanofi.com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Dupixent has been a transformative launch — quarterly sales reached EUR 4.2B in Q4 2025 (up 32.2% YoY), now the world's best-selling antibody with 8+ FDA-approved indications [1]. Pharma launches (Ayvakit, ALTUVIIIO) grew 49.4% to EUR 1.1B in Q4 2025, demonstrating a multi-product launch engine [1]. AI Deployment (2/2): Sanofi is deploying AI at scale across the entire value chain — CEO Hudson calls it the 'first pharma company powered by AI' — with measurable results including $300M in revenue risk avoidance via AI supply chain management and 80% prediction of low-inventory risks [2]. Market Share (1/2): Dupixent dominates the immunology biologics market with $14B+ in annual sales, but Sanofi is not the overall pharma market leader — behind Pfizer, J&amp;J, and Roche in total revenue [1]. Pipeline (1/2): 94 pipeline projects including frexalimab (MS, first-in-class), SAR441566 (oral RA, $5B peak market potential), and amlitelimab (positive phase 3 in atopic dermatitis), but most are mid-stage with significant clinical risk [1]. R&amp;D Intensity (1/1): Substantial R&amp;D investment driving one of the deepest pipelines in pharma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Sanofi's purpose — 'We chase the miracles of science to improve people's lives' — is specific, connected to a larger purpose, and clearly shapes strategic decisions including the AI transformation and pipeline focus on unmet medical needs [2][3]. CEO Hudson's 'stay grounded, stay humble' philosophy reflects genuine intentionality. Community Impact (2/2): Sanofi employs 74,846 people across 100+ countries, supports vaccine access programs for developing nations, and has a comprehensive sustainability strategy (AIR) including net zero GHG by 2045, 85% renewable electricity, and 47% reduction in scopes 1-2 emissions [3]. Employee Retention (1/2): CEO Hudson (since 2019) has driven cultural transformation toward AI-powered collaboration, and the company has made significant progress shifting from hierarchical to participatory culture, though no specific retention metrics were found [2]. Insider Buying (1/2): Sanofi announced a EUR 1B share buyback program for 2026, aligning management with shareholders, though specific executive insider purchase data was not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Sanofi's balance sheet is conservative with D/E of 28.4% (well below 70% target) and forward P/E of 9.0x — remarkably cheap for a pharma company delivering high single-digit revenue growth [4]. Full-year 2025 sales grew 9.9% at CER to EUR 46.7B with business EPS up 15.0% [1]. The primary weakness is ROE of 6.7% (below the 15% target), dragged down by Sanofi's asset-heavy pharma model and high payout ratio of 96% that limits retained earnings. Profit margin of 16.7% is solid but below the 20% target. Dividend yield of 4.6% is supported by 20+ consecutive years of payment, though growth has been inconsistent — payout ratio near 100% limits future dividend growth capacity. Liquidity easily cleared: 4.2M avg volume × $47.73 = $200.8M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Sanofi under Paul Hudson demonstrates strong infinite game characteristics — the all-in AI transformation, the cultural shift from hierarchy to participation, and the 94-project pipeline preparing for a post-Dupixent era all reflect long-term thinking. The company's willingness to fundamentally change how it operates (AI-first culture) while maintaining its scientific mission shows a leader playing to keep playing. The main finite-game signal is the high payout ratio, which prioritizes current shareholders over reinvestment.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Sanofi's purpose — 'chase the miracles of science to improve people's lives' — is genuine and shapes strategic decisions, from the pipeline focus on rare diseases and immunology to the AI transformation aimed at faster drug development (2/3 pts) [2][3]. The mission has been consistent through Hudson's tenure and connects the company's work to meaningful health outcomes. However, it hasn't been tested through the kind of crisis that would validate it as a true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Hudson's cultural transformation is remarkable — he explicitly dismantled hierarchical leadership, stating 'command-and-control leadership styles have gone,' and personally chairs AI workshops to remove roadblocks for innovators (2/2 pts) [2]. The 'Snackable AI' initiative democratizing data access to all employees and the RAISE ethical framework demonstrate trust-based empowerment. Hudson's admission that he underestimated his own learning curve models vulnerability from the top.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Sanofi's competitive posture is improvement-oriented rather than destructive — Hudson publicly warns against 'AI washing' by industry peers (an implicit acknowledgment of rivals' strengths) and frames Sanofi's AI advantage as going 'all in while others are dabbling' (1/1 pt) [2]. Strategic acquisitions (Blueprint Medicines, Vigil Neuroscience) show learning from external innovation rather than pure NIH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Sanofi's AI-first transformation represents meaningful strategic evolution — reimagining the entire pharmaceutical value chain from drug discovery to supply chain through AI (1/2 pts) [2]. The acquisitions of Blueprint Medicines and Vigil Neuroscience show willingness to enter adjacent therapeutic areas. However, the core business model (discover, develop, market drugs) has not fundamentally changed — AI enhances the existing model rather than replacing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Hudson's decision to go 'all in' on AI when most pharma companies were 'dabbling' demonstrates genuine courage — betting the company's culture and operations on a technology transformation that most peers were treating cautiously (1/2 pts) [2]. The 94-project pipeline investment preparing for post-Dupixent biosimilar competition (early 2030s) shows long-term thinking over short-term optimization. However, the 96% payout ratio suggests some prioritization of current returns over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Sanofi is a deep-value pharmaceutical leader trading at just 9.0x forward earnings with Dupixent delivering EUR 4.2B quarterly sales (up 32.2% YoY) and a 94-project pipeline preparing for the post-Dupixent era [1]. Full-year 2025 revenue grew 9.9% at CER to EUR 46.7B with business EPS up 15.0%, and 2026 guidance calls for high single-digit sales growth with EPS growing faster [1]. CEO Hudson's AI-first transformation is generating measurable results — $300M in supply chain risk avoidance and accelerated drug discovery — positioning Sanofi as the most digitally advanced major pharma company [2]. The pipeline includes potential blockbusters: frexalimab (first-in-class MS therapy), SAR441566 ($5B peak market oral RA alternative), and amlitelimab (positive phase 3 in atopic dermatitis) [1]. At a 4.6% dividend yield with D/E of 28.4%, Sanofi offers attractive income and capital appreciation potential from pipeline catalysts.</w:t>
      </w:r>
    </w:p>
    <w:p>
      <w:pPr>
        <w:spacing w:after="120"/>
      </w:pPr>
      <w:r>
        <w:rPr>
          <w:rFonts w:ascii="Calibri" w:hAnsi="Calibri"/>
          <w:b w:val="0"/>
          <w:color w:val="3A4A28"/>
          <w:sz w:val="20"/>
        </w:rPr>
        <w:t>The bear case centers on Dupixent concentration risk and pipeline execution uncertainty. Dupixent biosimilar competition expected in the early 2030s creates a ticking clock — the company needs multiple pipeline successes to replace what could be $20B+ in annual Dupixent revenue [1]. The 96% payout ratio leaves minimal retained earnings for organic reinvestment, relying on cash flow sustainability. ROE of 6.7% is weak for a company this size, suggesting capital is not being deployed efficiently [4]. Clinical trial risk across 94 pipeline projects — most mid-stage — means many will fail, and the key candidates (frexalimab, SAR441566) are years from commercialization. Revenue growth of 6.9% YoY and 5yr CAGR of 4.8% are modest, heavily dependent on a single drug franchise. Drug pricing pressure from government negotiations (EU reference pricing, US IRA) threatens long-term margin sustainability across the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Dupixent label expansion — AFRS FDA decision February 2026 and pediatric CSU decision April 2026 could add the 9th and 10th approved indications [1]</w:t>
      </w:r>
    </w:p>
    <w:p>
      <w:pPr>
        <w:spacing w:before="40" w:after="40"/>
        <w:ind w:left="283"/>
      </w:pPr>
      <w:r>
        <w:rPr>
          <w:rFonts w:ascii="Calibri" w:hAnsi="Calibri"/>
          <w:b/>
          <w:color w:val="4A6B25"/>
          <w:sz w:val="20"/>
        </w:rPr>
        <w:t xml:space="preserve">2. </w:t>
      </w:r>
      <w:r>
        <w:rPr>
          <w:rFonts w:ascii="Calibri" w:hAnsi="Calibri"/>
          <w:b w:val="0"/>
          <w:color w:val="3A4A28"/>
          <w:sz w:val="20"/>
        </w:rPr>
        <w:t>Pipeline data readouts in 2026 — frexalimab (MS), SAR441566 (oral RA), and amlitelimab (atopic dermatitis) represent multi-billion dollar market opportunities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generating measurable cost savings and pipeline acceleration, with CEO Hudson's all-in approach differentiating Sanofi from pharma peers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Dupixent concentration — single drug represents the majority of earnings growth, with biosimilar competition expected in the early 2030s threatening $20B+ in annual revenue [1]</w:t>
      </w:r>
    </w:p>
    <w:p>
      <w:pPr>
        <w:spacing w:before="40" w:after="40"/>
        <w:ind w:left="283"/>
      </w:pPr>
      <w:r>
        <w:rPr>
          <w:rFonts w:ascii="Calibri" w:hAnsi="Calibri"/>
          <w:b/>
          <w:color w:val="4A6B25"/>
          <w:sz w:val="20"/>
        </w:rPr>
        <w:t xml:space="preserve">2. </w:t>
      </w:r>
      <w:r>
        <w:rPr>
          <w:rFonts w:ascii="Calibri" w:hAnsi="Calibri"/>
          <w:b w:val="0"/>
          <w:color w:val="3A4A28"/>
          <w:sz w:val="20"/>
        </w:rPr>
        <w:t>Pipeline execution risk — 94 projects with high clinical trial failure rates; key candidates are years from commercialization and must succeed to replace Dupixent revenue [1]</w:t>
      </w:r>
    </w:p>
    <w:p>
      <w:pPr>
        <w:spacing w:before="40" w:after="40"/>
        <w:ind w:left="283"/>
      </w:pPr>
      <w:r>
        <w:rPr>
          <w:rFonts w:ascii="Calibri" w:hAnsi="Calibri"/>
          <w:b/>
          <w:color w:val="4A6B25"/>
          <w:sz w:val="20"/>
        </w:rPr>
        <w:t xml:space="preserve">3. </w:t>
      </w:r>
      <w:r>
        <w:rPr>
          <w:rFonts w:ascii="Calibri" w:hAnsi="Calibri"/>
          <w:b w:val="0"/>
          <w:color w:val="3A4A28"/>
          <w:sz w:val="20"/>
        </w:rPr>
        <w:t>Government drug pricing pressure — EU reference pricing, US Inflation Reduction Act, and international negotiations threaten margins across the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and manufacturing involve deeply regulated processes, physical-world operations, and proprietary molecular data that AI cannot displace [2]. AI enhances rather than threatens Sanofi's business — CEO Hudson has made AI the centerpiece of the company's strategy, deploying it across R&amp;D, supply chain, and manufacturing. The regulatory moat (FDA/EMA approval processes, patent protection, clinical trial requirements) creates structural barriers that AI startups cannot bypass. Dupixent's 8+ approved indications represent decades of clinical data that is impossible to replicate. AI Opportunity (1/1): Sanofi generates measurable value from AI — $300M in revenue risk avoidance through AI supply chain management, AI-powered drug discovery acceleration, and the company's self-described status as the 'first pharma company powered by AI at scale' [2]. AI is directly contributing to pipeline productivity and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Sanofi Q4 2025 / FY 2025 Earnings Release — Dupixent EUR 4.2B quarterly, 9.9% CER sales growth,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Sanofi AI Strategy — CEO Paul Hudson McKinsey/Fortune interviews, $300M supply chain savings, RAISE framework, 2024-2026</w:t>
      </w:r>
    </w:p>
    <w:p>
      <w:pPr>
        <w:spacing w:before="20" w:after="20"/>
        <w:ind w:left="170"/>
      </w:pPr>
      <w:r>
        <w:rPr>
          <w:rFonts w:ascii="Calibri" w:hAnsi="Calibri"/>
          <w:b/>
          <w:color w:val="4A6B25"/>
          <w:sz w:val="15"/>
        </w:rPr>
        <w:t xml:space="preserve">3. </w:t>
      </w:r>
      <w:r>
        <w:rPr>
          <w:rFonts w:ascii="Calibri" w:hAnsi="Calibri"/>
          <w:b w:val="0"/>
          <w:color w:val="3A4A28"/>
          <w:sz w:val="17"/>
        </w:rPr>
        <w:t>Sanofi ESG and Sustainability — MSCI A rating, net zero 2045 target, 85% renewable electricity, drug pricing concerns,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SNY (Sanofi),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