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SOBO</w:t>
      </w:r>
      <w:r>
        <w:rPr>
          <w:rFonts w:ascii="Calibri" w:hAnsi="Calibri"/>
          <w:b/>
          <w:color w:val="1A2010"/>
          <w:sz w:val="40"/>
        </w:rPr>
        <w:t xml:space="preserve">  South Bow Corporation</w:t>
      </w:r>
    </w:p>
    <w:p>
      <w:pPr>
        <w:spacing w:after="120"/>
      </w:pPr>
      <w:r>
        <w:rPr>
          <w:rFonts w:ascii="Calibri" w:hAnsi="Calibri"/>
          <w:b/>
          <w:color w:val="6E8450"/>
          <w:sz w:val="18"/>
        </w:rPr>
        <w:t>DIVIDEND SLEEVE · 2026-05-05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South Bow Corporation operates the Keystone crude oil pipeline system, transporting crude from Alberta to U.S. markets in Illinois, Oklahoma, and the Gulf Coast. Spun off from TC Energy in October 2024, the company operates 4,900 km of pipeline infrastructure across three segments: Keystone Pipeline System, Marketing, and Intra-Alberta &amp; Other. Also provides crude oil marketing, storage, and logistics services.</w:t>
      </w:r>
    </w:p>
    <w:p>
      <w:r>
        <w:rPr>
          <w:rFonts w:ascii="Calibri" w:hAnsi="Calibri"/>
          <w:b/>
          <w:color w:val="6E8450"/>
          <w:sz w:val="18"/>
        </w:rPr>
        <w:t>https://www.southbow.com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South Bow completed the Blackrod Connection Project on time and on budget, placing it into commercial service in early 2026, demonstrating execution capability on infrastructure projects [1]. However, as a pipeline operator, 'innovation' is primarily operational optimization rather than product development. Revenue declined from $2.12B (2024) to $1.99B (2025). AI Deployment (0/2): No evidence of AI-powered products or meaningful AI deployment. Pipeline operations use standard SCADA monitoring and leak detection systems. Market Share (1/2): The Keystone system is a critical piece of North American energy infrastructure connecting Alberta oil sands to Gulf Coast refineries, with contracted capacity providing market position — but it operates alongside competing pipeline systems (Enbridge Mainline, Trans Mountain). Pipeline (1/2): Blackrod Connection expected to boost cash flows in late 2026-2027, and the company has explored potential Keystone XL revival [1]. Revenue guidance is flat (~$1.96B for 2026). R&amp;D Intensity (1/1): Significant investment in pipeline integrity, safety monitoring, and remediation technology — relevant for an infrastructure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South Bow's purpose is operational — safely transporting crude oil from producers to refiners. This is a functional corporate description rather than an aspirational mission. The company exists because TC Energy spun off its liquids pipeline assets [1]. Community Impact (1/2): South Bow operates critical energy infrastructure supporting North American energy security and employs workers across multiple states and provinces. However, the Keystone pipeline's history of spills (23 total, including 3,500 barrels in April 2025 and 14,000 barrels in Kansas in 2022) creates negative community impact [3]. Employee Retention (1/2): As a newly independent company (Oct 2024), limited employee data is available. Inherited experienced pipeline operators from TC Energy suggests operational continuity. Insider Buying (1/2): CEO Bevin Wirzba leads the newly independent company with equity alignment, though limited insider transaction data exists for the brief public operating history.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 Bow's financial profile reflects a capital-intensive pipeline business with high debt from the TC Energy spinoff. D/E of 213.9% is elevated, typical for midstream companies but significantly above target [4]. ROE of 16.3% exceeds the 15% threshold, demonstrating adequate returns on equity. Profit margin of 21.8% is healthy for midstream. Forward P/E of 17.9x is reasonable for a utility-like cash flow stream. However, the dividend payout ratio of 96.6% leaves virtually no margin of safety — approaching unsustainable levels [4]. As a 2024 spinoff, consecutive dividend years (1) and growth history (0) are minimal. Revenue growth of only 3.1% YoY reflects the contracted, stable-but-slow nature of pipeline revenues. Liquidity floor cleared: $36.4M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South Bow as a newly independent company (Oct 2024 spinoff from TC Energy) has limited history to assess infinite game characteristics. The company operates essential infrastructure with multi-decade asset life, which inherently requires long-term thinking. However, the near-100% payout ratio and heavy debt load suggest financial optimization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 Bow's purpose is primarily operational ��� safely transporting crude oil through pipeline infrastructure. This is necessary work but not an inspiring vision of a better future [1]. The company was created by corporate spinoff rather than founded with a distinctive purpose. Energy security could be framed as a cause, but the company doesn't articulate it as one.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 Bow inherited experienced pipeline operators from TC Energy, providing operational expertise and organizational stability [1]. CEO Bevin Wirzba provides continuity of leadership. The rapid emergency response to the April 2025 pipeline leak (two-minute shutdown) suggests well-trained, empowered field teams [3]. However, as a 7-month-old standalone entity at the time, cultural assessment is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single-asset pipeline operator, South Bow has limited competitive dynamics — the Keystone system either gets contracted volumes or it doesn't. The company does not publicly discuss competitors (Enbridge, Trans Mountain) in terms of learning or improvement. The business model is more regulated utility than competitive enterprise.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 Bow has zero existential flexibility evidence — it was created as a spinoff to operate a single pipeline system and has no history of strategic pivots or business model evolution [1]. Potential Keystone XL revival represents expansion rather than transformation. The company is structurally locked into crude oil transportation with no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Completing the Blackrod Connection on time and budget during a period of energy market uncertainty demonstrates operational discipline [1]. Reaffirming 2026 financial outlook despite tariff concerns shows confidence. However, the near-100% payout ratio suggests the company prioritizes immediate shareholder returns over long-term reinvestment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 Bow offers a compelling 5.69% dividend yield backed by contracted pipeline cash flows and critical energy infrastructure connecting Alberta crude to U.S. refineries [1][4]. Net income grew 37% YoY to $433M ($2.07/share) in 2025 despite revenue declining modestly, reflecting operational efficiency. The Blackrod Connection Project was completed on time and budget, expected to boost cash flows in late 2026-2027. Forward P/E of 17.9x is reasonable for utility-like cash flows with 21.8% profit margin. The company benefits from long-term contracted volumes that provide revenue visibility regardless of crude price fluctuations. AI-driven data center expansion supports long-term crude oil demand, and North American energy security concerns enhance the strategic value of pipeline infrastructure.</w:t>
      </w:r>
    </w:p>
    <w:p>
      <w:pPr>
        <w:spacing w:after="120"/>
      </w:pPr>
      <w:r>
        <w:rPr>
          <w:rFonts w:ascii="Calibri" w:hAnsi="Calibri"/>
          <w:b w:val="0"/>
          <w:color w:val="3A4A28"/>
          <w:sz w:val="20"/>
        </w:rPr>
        <w:t>The bear case is anchored in dividend sustainability and operational risk. The 96.6% payout ratio leaves virtually zero buffer — any earnings miss would require either a dividend cut or increased leverage on an already-stretched balance sheet (D/E 213.9%) [4]. The Keystone system has a troubling safety record with 23 spills including a 3,500-barrel release in April 2025 at Fort Ransom, North Dakota, triggering a PHMSA Corrective Action Order [3]. Regulatory risk from spill incidents could force costly shutdowns and repairs. Revenue growth of only 3.1% means the company cannot grow its way out of financial challenges. Tariff impacts on the marketing segment create additional earnings uncertainty [1]. As a single-asset pipeline operator dependent on Alberta crude production, South Bow has no business diversification. The company's D/E of 213.9% is extremely elevated, limiting financial flexibility for unexpected capital needs.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Blackrod Connection Project cash flow ramp in late 2026-2027, boosting EBITDA without proportional capital investment as the project is already complete [1]</w:t>
      </w:r>
    </w:p>
    <w:p>
      <w:pPr>
        <w:spacing w:before="40" w:after="40"/>
        <w:ind w:left="283"/>
      </w:pPr>
      <w:r>
        <w:rPr>
          <w:rFonts w:ascii="Calibri" w:hAnsi="Calibri"/>
          <w:b/>
          <w:color w:val="4A6B25"/>
          <w:sz w:val="20"/>
        </w:rPr>
        <w:t xml:space="preserve">2. </w:t>
      </w:r>
      <w:r>
        <w:rPr>
          <w:rFonts w:ascii="Calibri" w:hAnsi="Calibri"/>
          <w:b w:val="0"/>
          <w:color w:val="3A4A28"/>
          <w:sz w:val="20"/>
        </w:rPr>
        <w:t>Potential Keystone XL revival under favorable regulatory/political environment could transform the company's growth profile and strategic value [1]</w:t>
      </w:r>
    </w:p>
    <w:p>
      <w:pPr>
        <w:spacing w:before="40" w:after="40"/>
        <w:ind w:left="283"/>
      </w:pPr>
      <w:r>
        <w:rPr>
          <w:rFonts w:ascii="Calibri" w:hAnsi="Calibri"/>
          <w:b/>
          <w:color w:val="4A6B25"/>
          <w:sz w:val="20"/>
        </w:rPr>
        <w:t xml:space="preserve">3. </w:t>
      </w:r>
      <w:r>
        <w:rPr>
          <w:rFonts w:ascii="Calibri" w:hAnsi="Calibri"/>
          <w:b w:val="0"/>
          <w:color w:val="3A4A28"/>
          <w:sz w:val="20"/>
        </w:rPr>
        <w:t>5.69% dividend yield with potential for dividend growth as Blackrod cash flows come online and payout ratio normalizes below 90%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at 96.6% payout ratio — any operational disruption or earnings miss could force a dividend cut, devastating the yield-driven shareholder base [4]</w:t>
      </w:r>
    </w:p>
    <w:p>
      <w:pPr>
        <w:spacing w:before="40" w:after="40"/>
        <w:ind w:left="283"/>
      </w:pPr>
      <w:r>
        <w:rPr>
          <w:rFonts w:ascii="Calibri" w:hAnsi="Calibri"/>
          <w:b/>
          <w:color w:val="4A6B25"/>
          <w:sz w:val="20"/>
        </w:rPr>
        <w:t xml:space="preserve">2. </w:t>
      </w:r>
      <w:r>
        <w:rPr>
          <w:rFonts w:ascii="Calibri" w:hAnsi="Calibri"/>
          <w:b w:val="0"/>
          <w:color w:val="3A4A28"/>
          <w:sz w:val="20"/>
        </w:rPr>
        <w:t>Pipeline spill/safety risk — 23 historical spills including 3,500 barrels in April 2025 at Fort Ransom, ND, with PHMSA Corrective Action Order creating regulatory and remediation cost uncertainty [3]</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entire business depends on Keystone pipeline utilization, with no diversification across commodities, geographies, or business models beyond crude oil transport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Crude oil pipeline operations are structurally immune to AI disruption �� physical infrastructure transporting hydrocarbons from Alberta to the U.S. Gulf Coast cannot be replaced by any digital technology [1]. Pipelines are regulated monopolies with long-term contracted volumes. AI cannot substitute for physical crude oil transportation. Furthermore, AI data center expansion is driving increased energy demand, which may increase demand for crude oil transportation services. The Keystone system's physical asset base and regulatory approvals create an irreplaceable moat. AI Opportunity (1/1): AI-driven energy demand growth (data centers, computing infrastructure) indirectly benefits crude oil demand and pipeline utilization, supporting South Bow's contracted volumes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 Bow Q3 2025 Earnings Release and 2026 Outlook — Revenue $1.986B, net income $433M, Blackrod completion, financial guidance, November 2025</w:t>
      </w:r>
    </w:p>
    <w:p>
      <w:pPr>
        <w:spacing w:before="20" w:after="20"/>
        <w:ind w:left="170"/>
      </w:pPr>
      <w:r>
        <w:rPr>
          <w:rFonts w:ascii="Calibri" w:hAnsi="Calibri"/>
          <w:b/>
          <w:color w:val="4A6B25"/>
          <w:sz w:val="15"/>
        </w:rPr>
        <w:t xml:space="preserve">2. </w:t>
      </w:r>
      <w:r>
        <w:rPr>
          <w:rFonts w:ascii="Calibri" w:hAnsi="Calibri"/>
          <w:b w:val="0"/>
          <w:color w:val="3A4A28"/>
          <w:sz w:val="17"/>
        </w:rPr>
        <w:t>South Bow corporate website, SEC filings, investor presentations — Keystone system overview, AI energy demand context,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Globe and Mail, Global News, PHMSA — Keystone pipeline spill incidents (3,500 barrels April 2025, 14,000 barrels Kansas 2022), Corrective Action Order,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SOBO (South Bow Corporation),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