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SOBR</w:t>
      </w:r>
      <w:r>
        <w:rPr>
          <w:rFonts w:ascii="Calibri" w:hAnsi="Calibri"/>
          <w:b/>
          <w:color w:val="1A2010"/>
          <w:sz w:val="40"/>
        </w:rPr>
        <w:t xml:space="preserve">  SOBR Safe, Inc.</w:t>
      </w:r>
    </w:p>
    <w:p>
      <w:pPr>
        <w:spacing w:after="120"/>
      </w:pPr>
      <w:r>
        <w:rPr>
          <w:rFonts w:ascii="Calibri" w:hAnsi="Calibri"/>
          <w:b/>
          <w:color w:val="6E8450"/>
          <w:sz w:val="18"/>
        </w:rPr>
        <w:t>GROWTH SLEEVE · 2026-04-12 · Inspire: 71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SOBR Safe is a Denver-based company founded in 2020 that develops transdermal, touch-based alcohol detection technology for workplace safety and wellness. Flagship products include SOBRcheck, a touch-based non-invasive alcohol detection device that detects alcohol vapor emitted through the skin, and SOBRsure, a wearable wristband for continuous passive alcohol monitoring [1].</w:t>
      </w:r>
    </w:p>
    <w:p>
      <w:r>
        <w:rPr>
          <w:rFonts w:ascii="Calibri" w:hAnsi="Calibri"/>
          <w:b/>
          <w:color w:val="6E8450"/>
          <w:sz w:val="18"/>
        </w:rPr>
        <w:t>15 Employees · https://www.sobrsafe.com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SOBR Safe has launched two product lines (SOBRcheck touch-based detector and SOBRsure wristband) since 2020, but adoption is extremely limited — trailing-twelve-month revenue was only $364K as of September 30, 2025 [1]. The company has not demonstrated a meaningful commercial pivot or breakthrough. AI Deployment (0/2): No evidence of shipping AI-driven products or measurable AI savings; the core technology is transdermal sensor chemistry rather than AI [2]. Market Share (0/2): SOBR is effectively a commercial curiosity with a $1.46M market cap; no meaningful market share in any category [3]. Pipeline (1/2): SOBRsure continuous-monitoring wristband is a genuine next-gen extension from the SOBRcheck device, but no specific timeline for meaningful revenue acceleration [1]. R&amp;D Intensity (1/1): The company spends essentially all of its operating expense on R&amp;D and sales development relative to its tiny revenue base (the operating margin of -2332% reflects how R&amp;D dwarfs revenue)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SOBR Safe articulates a distinctive mission around 'creating a culture of prevention and support' for workplace alcohol safety — specific, differentiated from generic health-tech messaging, and ties directly to product design [2]. Community Impact (1/2): The Inspire Insight profile includes positive attributions for Employee Wellbeing, Energy Management, GHG Emissions, and Waste/Hazmat Management, indicating thoughtful corporate responsibility posture at a tiny scale [external CSV]. Employee Retention (0/2): No retention data available; Glassdoor profile exists but lacks substantive reviews. The company has ~15 employees which limits organizational signal [2]. Insider Buying (0/2): Recent private placement and stock/warrant issuance indicate dilutive financing rather than insider conviction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SOBR Safe FAILS the IOWN liquidity floor: with a stock price of ~$0.77 and a ~$1.46M market cap on only 1.89M shares outstanding, daily trading dollar volume is far below the $1M threshold required for IOWN to trade — Infrastructure score is forced to 0 by the hard rule [3]. Separately, fundamentals are very poor: FY2024 revenue was $212,736 with a net loss of $10.56M; operating margin is -2332% and net margin is -2265%; PE ratio is -0.59 (unprofitable). D/E of 0.06 and current ratio of 4.27 reflect equity-funded runway rather than balance-sheet strength [3]. Liquidity floor FAILED: 1.89M shares total float × $0.77 market cap ≈ $1.46M market cap; daily trading dollar volume ~$0.1–$0.3M is far below the $1M threshold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SOBR Safe has a genuine patient-safety-style mission but is a sub-scale micro-cap in survival mode with repeated dilutive financings, no commercial momentum, and a share price and market cap that fail the IOWN liquidity floor. The company is playing to stay alive this quarter, not to play the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SOBR's 'culture of prevention and support' mission for workplace alcohol safety is genuine and distinctive from generic tech-company missions [2]. But the cause has not been tested over multiple cycles (company founded 2020) and has not yet produced meaningful commercial validation, keeping it below the bar of a lived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Dave Gandini (since October 2021) has kept a stable leadership team and the executives publish on LinkedIn about purpose-driven leadership [2]. But the 15-person company size limits organizational signal and there is no published retention data.</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SOBR operates adjacent to breath-alcohol testing (Draeger, Intoximeters), wearables (Whoop, Fitbit), and in-vehicle driver-monitoring systems, but management commentary does not frame these as worthy rivals whose strengths reveal SOBR weaknesses — the finite game framing focuses on its own product rollout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SOBR expanded from the SOBRcheck touch-based detector (B2B fixed installation) into the SOBRsure wearable wristband (individual continuous monitoring) — a genuine product-form pivot in service of the safety mission [1]. But at sub-$1M revenue, neither product has been validated and the flexibility has been incremental, not transformative.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repeated private placements and stock/warrant issuances at distressed prices reflect survival financing rather than courageous long-term capital allocation [3]. There is no evidence of leadership walking away from revenue, exiting businesses, or making painful long-term investments at the expense of near-term earnings — the company is simply operating at minimal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SOBR Safe addresses a genuine workplace-safety need with its transdermal alcohol detection technology — the SOBRcheck touch-based device and SOBRsure wearable wristband target fleet, construction, and healthcare use cases where alcohol impairment creates real injury and liability risk [1]. FY2024 revenue grew 35% to $212,736 and the Inspire Insight profile scores a highly-aligned 71 with positive attributions across Employee Wellbeing, Energy Management, GHG Emissions, and Waste/Hazmat Management [external CSV]. The physical-sensor product category is structurally AI-resilient — hardware chemistry cannot be substituted by pure software [2]. For an extremely speculative micro-cap investor, SOBR represents option value on workplace-safety product adoption.</w:t>
      </w:r>
    </w:p>
    <w:p>
      <w:pPr>
        <w:spacing w:after="120"/>
      </w:pPr>
      <w:r>
        <w:rPr>
          <w:rFonts w:ascii="Calibri" w:hAnsi="Calibri"/>
          <w:b w:val="0"/>
          <w:color w:val="3A4A28"/>
          <w:sz w:val="20"/>
        </w:rPr>
        <w:t>The bear case is overwhelming and the stock fails the IOWN liquidity floor. Market cap is only ~$1.46M at a $0.77 share price with 1.89M shares outstanding; daily trading dollar volume is well below the $1M threshold required for IOWN to trade, so Infrastructure is forced to 0 by the hard rule [3]. FY2024 net loss was $10.56M on $213K revenue — the operating margin of -2332% means the company burns cash at roughly 50x revenue. The repeated dilutive private placements and stock/warrant issuances at distressed share prices suggest continuing survival financing rather than scalable commercial traction [3]. TTM revenue of $364K as of September 2025 shows growth in percentage terms but no absolute scale. The product category faces emerging competition from AI-driven impairment detection approaches [6]. This is not investable at IOWN's liquidity and quality standards.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SOBRsure wearable wristband adoption at a fleet or enterprise customer that moves revenue materially above the sub-$1M TTM run rate [1]</w:t>
      </w:r>
    </w:p>
    <w:p>
      <w:pPr>
        <w:spacing w:before="40" w:after="40"/>
        <w:ind w:left="283"/>
      </w:pPr>
      <w:r>
        <w:rPr>
          <w:rFonts w:ascii="Calibri" w:hAnsi="Calibri"/>
          <w:b/>
          <w:color w:val="4A6B25"/>
          <w:sz w:val="20"/>
        </w:rPr>
        <w:t xml:space="preserve">2. </w:t>
      </w:r>
      <w:r>
        <w:rPr>
          <w:rFonts w:ascii="Calibri" w:hAnsi="Calibri"/>
          <w:b w:val="0"/>
          <w:color w:val="3A4A28"/>
          <w:sz w:val="20"/>
        </w:rPr>
        <w:t>Inspire Insight score of 71 (ALIGNED) with five positive attributions signals values-aligned corporate posture that could appeal to mission-driven customers [external CSV]</w:t>
      </w:r>
    </w:p>
    <w:p>
      <w:pPr>
        <w:spacing w:before="40" w:after="40"/>
        <w:ind w:left="283"/>
      </w:pPr>
      <w:r>
        <w:rPr>
          <w:rFonts w:ascii="Calibri" w:hAnsi="Calibri"/>
          <w:b/>
          <w:color w:val="4A6B25"/>
          <w:sz w:val="20"/>
        </w:rPr>
        <w:t xml:space="preserve">3. </w:t>
      </w:r>
      <w:r>
        <w:rPr>
          <w:rFonts w:ascii="Calibri" w:hAnsi="Calibri"/>
          <w:b w:val="0"/>
          <w:color w:val="3A4A28"/>
          <w:sz w:val="20"/>
        </w:rPr>
        <w:t>Physical transdermal sensor technology is structurally AI-resilient, differentiating from software-only impairment detection approaches in regulated workplace environments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Market cap of ~$1.46M and daily trading dollar volume far below $1M FAIL the IOWN liquidity floor — Infrastructure is forced to 0 and the stock is not investable at IOWN standards [3]</w:t>
      </w:r>
    </w:p>
    <w:p>
      <w:pPr>
        <w:spacing w:before="40" w:after="40"/>
        <w:ind w:left="283"/>
      </w:pPr>
      <w:r>
        <w:rPr>
          <w:rFonts w:ascii="Calibri" w:hAnsi="Calibri"/>
          <w:b/>
          <w:color w:val="4A6B25"/>
          <w:sz w:val="20"/>
        </w:rPr>
        <w:t xml:space="preserve">2. </w:t>
      </w:r>
      <w:r>
        <w:rPr>
          <w:rFonts w:ascii="Calibri" w:hAnsi="Calibri"/>
          <w:b w:val="0"/>
          <w:color w:val="3A4A28"/>
          <w:sz w:val="20"/>
        </w:rPr>
        <w:t>FY2024 net loss of $10.56M on only $213K revenue (operating margin -2332%) means the company burns roughly 50x revenue and requires continuous dilutive financing [3]</w:t>
      </w:r>
    </w:p>
    <w:p>
      <w:pPr>
        <w:spacing w:before="40" w:after="40"/>
        <w:ind w:left="283"/>
      </w:pPr>
      <w:r>
        <w:rPr>
          <w:rFonts w:ascii="Calibri" w:hAnsi="Calibri"/>
          <w:b/>
          <w:color w:val="4A6B25"/>
          <w:sz w:val="20"/>
        </w:rPr>
        <w:t xml:space="preserve">3. </w:t>
      </w:r>
      <w:r>
        <w:rPr>
          <w:rFonts w:ascii="Calibri" w:hAnsi="Calibri"/>
          <w:b w:val="0"/>
          <w:color w:val="3A4A28"/>
          <w:sz w:val="20"/>
        </w:rPr>
        <w:t>Repeated private placements and stock/warrant issuances at distressed prices create continuous dilution risk for existing shareholders with no clear path to commercial scale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SOBR Safe's core product is a physical transdermal sensor measuring alcohol vapor through skin — hardware chemistry that AI cannot directly replace. The product category (workplace alcohol detection) is regulated and requires physical device deployment at point of use (fleet, construction, healthcare), which creates structural defensive moats against pure-software AI substitution [2]. Risk: AI-enabled computer vision impairment detection (e.g., in-vehicle driver-monitoring AI) could compete as an alternative approach to impairment detection, potentially compressing the addressable market [6]. AI Opportunity (0/1): SOBR Safe does not generate material AI-specific revenue; data analytics on its platform are still nascent given the tiny installed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SOBR Safe investor relations, SOBRcheck/SOBRsure product information, and Q3 2025 update,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SOBR Safe leadership, Glassdoor profile, and CEO Dave Gandini LinkedIn thought leadership,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Nasdaq SOBR key statistics — $0.77 price, $1.46M market cap, 1.89M shares outstanding, current ratio 4.27, D/E 0.06, April 2026</w:t>
      </w:r>
    </w:p>
    <w:p>
      <w:pPr>
        <w:spacing w:before="20" w:after="20"/>
        <w:ind w:left="170"/>
      </w:pPr>
      <w:r>
        <w:rPr>
          <w:rFonts w:ascii="Calibri" w:hAnsi="Calibri"/>
          <w:b/>
          <w:color w:val="4A6B25"/>
          <w:sz w:val="15"/>
        </w:rPr>
        <w:t xml:space="preserve">4. </w:t>
      </w:r>
      <w:r>
        <w:rPr>
          <w:rFonts w:ascii="Calibri" w:hAnsi="Calibri"/>
          <w:b w:val="0"/>
          <w:color w:val="3A4A28"/>
          <w:sz w:val="17"/>
        </w:rPr>
        <w:t>Deloitte hospitality AI outlook and broader AI-driven impairment detection competitive landscape,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