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SOLS</w:t>
      </w:r>
      <w:r>
        <w:rPr>
          <w:rFonts w:ascii="Calibri" w:hAnsi="Calibri"/>
          <w:b/>
          <w:color w:val="1A2010"/>
          <w:sz w:val="40"/>
        </w:rPr>
        <w:t xml:space="preserve">  Solstice Advanced Materials, Inc.</w:t>
      </w:r>
    </w:p>
    <w:p>
      <w:pPr>
        <w:spacing w:after="120"/>
      </w:pPr>
      <w:r>
        <w:rPr>
          <w:rFonts w:ascii="Calibri" w:hAnsi="Calibri"/>
          <w:b/>
          <w:color w:val="6E8450"/>
          <w:sz w:val="18"/>
        </w:rPr>
        <w:t>GROWTH SLEEVE · 2026-04-07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United States</w:t>
      </w:r>
    </w:p>
    <w:p>
      <w:pPr>
        <w:spacing w:after="80"/>
      </w:pPr>
      <w:r>
        <w:rPr>
          <w:rFonts w:ascii="Calibri" w:hAnsi="Calibri"/>
          <w:b w:val="0"/>
          <w:color w:val="3A4A28"/>
          <w:sz w:val="20"/>
        </w:rPr>
        <w:t>Solstice Advanced Materials operates as a specialty chemicals and advanced materials company spun off from Honeywell in October 2025. It operates two segments: Refrigerants &amp; Applied Solutions (72% of sales) producing low global warming potential refrigerants, blowing agents, and solvents under the Solstice, Genetron, and Aclar brands; and Electronic &amp; Specialty Materials (28%) providing sputtering targets, high-strength fibers, and life science chemicals for semiconductor, defense, and pharmaceutical markets.</w:t>
      </w:r>
    </w:p>
    <w:p>
      <w:r>
        <w:rPr>
          <w:rFonts w:ascii="Calibri" w:hAnsi="Calibri"/>
          <w:b/>
          <w:color w:val="6E8450"/>
          <w:sz w:val="18"/>
        </w:rPr>
        <w:t>4,100 Employees · https://www.solstice.com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Solstice was spun off from Honeywell in October 2025, inheriting a strong legacy portfolio but with limited independent track record. Q4 2025 revenue grew 8% YoY to $987M driven by double-digit growth in Nuclear, Electronic Materials, and Refrigerants segments [1]. The $200M Spokane expansion for semiconductor materials demonstrates capital commitment to growth [2]. AI Deployment (1/2): Solstice benefits from AI-driven demand — data center cooling needs and semiconductor manufacturing are direct tailwinds — but no AI-powered products or internal AI deployment has been announced [2]. Market Share (2/2): Leading global position in low-GWP refrigerants under the Solstice brand, with regulatory tailwinds from the Kigali Amendment mandating phasedown of high-GWP substances. Electronic materials segment holds niche leadership in sputtering targets and Spectra fibers [2]. Pipeline (1/2): $200M Spokane semiconductor expansion with specific timeline, and 2026 guidance of $3.9–4.1B revenue and $975M–$1.025B adjusted EBITDA, but pipeline visibility remains limited for a newly independent company [1]. R&amp;D Intensity (0/1): Over 300 technologists and engineers, but R&amp;D spend data not yet disclosed as a standalone entity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Solstice positions itself around innovation, safety, and collaboration as a specialty materials leader, but the mission is functional rather than distinctive — it describes what the company does without articulating a deeper purpose beyond regulatory-driven market opportunity [2]. Community Impact (1/2): Employs 4,100 people and the Spokane expansion creates jobs in an underserved region, but no specific charitable programs or community investment data available for this newly independent entity [2]. Employee Retention (1/2): Inherited experienced workforce from Honeywell with 300+ technologists, and CEO David Sewell brings proven leadership from WestRock's $35B Smurfit Kappa merger, but no retention metrics available for the standalone entity [2]. Insider Buying (1/2): As a fresh spinoff, insider transactions are limited; Sewell and the board received equity grants at formation but no meaningful open-market purchases reported yet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Solstice's financial profile reflects a newly independent company with solid revenue ($3.89B) but modest margins. Forward P/E of 24.8x is reasonable for a specialty chemicals company with regulatory tailwinds. D/E of 184.2% reflects the debt load inherited from the Honeywell spinoff ($2.54B total debt vs. $534M cash) [3]. ROE of 12.5% is below the 15% target but improving as the company optimizes its standalone cost structure. Revenue growth of 8.1% YoY with 2026 guidance of $3.9–4.1B shows steady acceleration [1]. Profit margin of 6.1% is thin, reflecting the cyclical nature of refrigerants and transition costs, though adjusted EBITDA margin guidance of ~25% is more representative of underlying profitability [1]. Liquidity floor cleared: 3.2M avg volume × $78.03 = $250.5M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Solstice is a newly independent company with strong market positioning in regulatory-driven refrigerant markets and semiconductor materials. The leadership team, led by CEO David Sewell with his track record at WestRock, brings operational discipline but the company has not yet been tested through market cycles as a standalone entity. The mission focuses on market opportunity rather than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Solstice's purpose centers on enabling the energy transition through low-GWP refrigerants and advancing semiconductor technology [2]. While socially valuable, this reads more as market positioning than a Just Cause — the company exists because Honeywell saw value in spinning off these assets, not because of a founding vision that demanded independent existence. Score: 1/3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retained 4,100 experienced employees from Honeywell and built a leadership team combining Honeywell veterans with outside talent like CEO Sewell [2]. The culture emphasizes innovation, safety, and collaboration. However, spinoffs often create organizational uncertainty, and no employee sentiment data is available for the standalone entity. Score: 1/2 weighted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Solstice competes against Chemours, Daikin, and Arkema in refrigerants, and against major players in electronic materials. No evidence of management framing competition in terms of learning or self-improvement — the competitive narrative focuses on market leadership and regulatory advantage. Score: 0/1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spinoff itself represents a structural pivot — separating from Honeywell to operate as a focused specialty materials company [2]. The Spokane semiconductor expansion shows willingness to invest in adjacent growth. However, this flexibility was driven by Honeywell's portfolio optimization rather than an autonomous strategic choice. Score: 1/2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Sewell's track record at WestRock includes leading a multi-year transformation and the landmark $35B Smurfit Kappa merger, demonstrating willingness to make bold strategic bets [2]. The $200M Spokane investment as a newly public company signals long-term commitment. However, too early to assess whether leadership will hold firm during cyclical downturns in chemicals markets.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Solstice Advanced Materials is a well-positioned specialty chemicals company benefiting from two powerful secular tailwinds: the global regulatory-mandated transition to low-GWP refrigerants under the Kigali Amendment, and surging demand for electronic materials driven by AI-related semiconductor expansion [1][2]. Q4 2025 revenue grew 8% YoY to $987M with double-digit growth in key segments, and 2026 guidance of $3.9–4.1B revenue with $975M–$1.025B adjusted EBITDA (~25% margin) suggests improving profitability as standalone cost optimization takes hold [1]. The $200M Spokane semiconductor expansion positions the ESM segment for accelerating AI-driven demand. At 24.8x forward P/E with forward EPS of $3.15, the valuation is reasonable for a specialty materials company with regulatory moats and data center cooling exposure.</w:t>
      </w:r>
    </w:p>
    <w:p>
      <w:pPr>
        <w:spacing w:after="120"/>
      </w:pPr>
      <w:r>
        <w:rPr>
          <w:rFonts w:ascii="Calibri" w:hAnsi="Calibri"/>
          <w:b w:val="0"/>
          <w:color w:val="3A4A28"/>
          <w:sz w:val="20"/>
        </w:rPr>
        <w:t>The bear case centers on execution risk as a newly independent entity and a leveraged balance sheet. D/E of 184% with $2.54B in debt against $534M cash creates refinancing risk if interest rates remain elevated [3]. GAAP profit margin of 6.1% and negative free cash flow (-$23.6M) suggest the company is still optimizing its standalone cost structure. EPS declined 69% YoY as spinoff-related costs weighed on earnings. The refrigerants business (72% of sales) is cyclical and subject to pricing pressure from Chinese competitors entering the low-GWP market. Revenue growth of only 2.7% CAGR over 3 years raises questions about whether the secular tailwind narrative will translate into sustained top-line acceleration. The company's limited independent operating history makes it difficult to assess management's ability to navigate a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Kigali Amendment refrigerant phasedown accelerating through 2026-2028, creating mandatory demand shift to Solstice's low-GWP products with limited competition [2]</w:t>
      </w:r>
    </w:p>
    <w:p>
      <w:pPr>
        <w:spacing w:before="40" w:after="40"/>
        <w:ind w:left="283"/>
      </w:pPr>
      <w:r>
        <w:rPr>
          <w:rFonts w:ascii="Calibri" w:hAnsi="Calibri"/>
          <w:b/>
          <w:color w:val="4A6B25"/>
          <w:sz w:val="20"/>
        </w:rPr>
        <w:t xml:space="preserve">2. </w:t>
      </w:r>
      <w:r>
        <w:rPr>
          <w:rFonts w:ascii="Calibri" w:hAnsi="Calibri"/>
          <w:b w:val="0"/>
          <w:color w:val="3A4A28"/>
          <w:sz w:val="20"/>
        </w:rPr>
        <w:t>$200M Spokane semiconductor facility expansion coming online to capture AI-driven electronic materials demand [2]</w:t>
      </w:r>
    </w:p>
    <w:p>
      <w:pPr>
        <w:spacing w:before="40" w:after="40"/>
        <w:ind w:left="283"/>
      </w:pPr>
      <w:r>
        <w:rPr>
          <w:rFonts w:ascii="Calibri" w:hAnsi="Calibri"/>
          <w:b/>
          <w:color w:val="4A6B25"/>
          <w:sz w:val="20"/>
        </w:rPr>
        <w:t xml:space="preserve">3. </w:t>
      </w:r>
      <w:r>
        <w:rPr>
          <w:rFonts w:ascii="Calibri" w:hAnsi="Calibri"/>
          <w:b w:val="0"/>
          <w:color w:val="3A4A28"/>
          <w:sz w:val="20"/>
        </w:rPr>
        <w:t>Standalone cost optimization targeting improved margins as spinoff transition costs fade, with adjusted EBITDA guidance of $975M–$1.025B in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Leveraged balance sheet with D/E of 184% and $2.54B debt creates refinancing risk and limits financial flexibility as a newly independent entity [3]</w:t>
      </w:r>
    </w:p>
    <w:p>
      <w:pPr>
        <w:spacing w:before="40" w:after="40"/>
        <w:ind w:left="283"/>
      </w:pPr>
      <w:r>
        <w:rPr>
          <w:rFonts w:ascii="Calibri" w:hAnsi="Calibri"/>
          <w:b/>
          <w:color w:val="4A6B25"/>
          <w:sz w:val="20"/>
        </w:rPr>
        <w:t xml:space="preserve">2. </w:t>
      </w:r>
      <w:r>
        <w:rPr>
          <w:rFonts w:ascii="Calibri" w:hAnsi="Calibri"/>
          <w:b w:val="0"/>
          <w:color w:val="3A4A28"/>
          <w:sz w:val="20"/>
        </w:rPr>
        <w:t>Chinese low-GWP refrigerant competitors entering global markets could compress pricing in the core Refrigerants &amp; Applied Solutions segment (72% of revenue) [2]</w:t>
      </w:r>
    </w:p>
    <w:p>
      <w:pPr>
        <w:spacing w:before="40" w:after="40"/>
        <w:ind w:left="283"/>
      </w:pPr>
      <w:r>
        <w:rPr>
          <w:rFonts w:ascii="Calibri" w:hAnsi="Calibri"/>
          <w:b/>
          <w:color w:val="4A6B25"/>
          <w:sz w:val="20"/>
        </w:rPr>
        <w:t xml:space="preserve">3. </w:t>
      </w:r>
      <w:r>
        <w:rPr>
          <w:rFonts w:ascii="Calibri" w:hAnsi="Calibri"/>
          <w:b w:val="0"/>
          <w:color w:val="3A4A28"/>
          <w:sz w:val="20"/>
        </w:rPr>
        <w:t>Semiconductor cycle volatility — AI capex pullback could reduce demand for electronic materials, the higher-growth segment that justifies the growth premium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Solstice operates in physical-world manufacturing of specialty chemicals, refrigerants, and electronic materials — businesses AI cannot displace [2]. The refrigerants segment benefits from regulatory mandates (Kigali Amendment) that create inelastic demand regardless of AI trends. However, the electronic materials segment faces indirect exposure — semiconductor demand could shift with AI cycle volatility, and advanced materials innovation could be accelerated by AI-enabled R&amp;D at competitors. The core business is well-protected but not immune to AI-adjacent market shifts. AI Opportunity (1/1): Solstice directly benefits from AI infrastructure build-out — data center cooling drives refrigerant demand, and semiconductor expansion drives electronic materials demand. The $200M Spokane expansion specifically targets AI-driven semiconductor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Solstice Advanced Materials Q4 2025 Earnings Release — $987M revenue, 8% YoY growth, 2026 guidance $3.9–4.1B, February 11, 2026</w:t>
      </w:r>
    </w:p>
    <w:p>
      <w:pPr>
        <w:spacing w:before="20" w:after="20"/>
        <w:ind w:left="170"/>
      </w:pPr>
      <w:r>
        <w:rPr>
          <w:rFonts w:ascii="Calibri" w:hAnsi="Calibri"/>
          <w:b/>
          <w:color w:val="4A6B25"/>
          <w:sz w:val="15"/>
        </w:rPr>
        <w:t xml:space="preserve">2. </w:t>
      </w:r>
      <w:r>
        <w:rPr>
          <w:rFonts w:ascii="Calibri" w:hAnsi="Calibri"/>
          <w:b w:val="0"/>
          <w:color w:val="3A4A28"/>
          <w:sz w:val="17"/>
        </w:rPr>
        <w:t>Solstice Advanced Materials Investor Day and press releases — Spokane expansion, leadership, market positioning,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SOLS,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