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w:t>
      </w:r>
      <w:r>
        <w:rPr>
          <w:rFonts w:ascii="Calibri" w:hAnsi="Calibri"/>
          <w:b/>
          <w:color w:val="1A2010"/>
          <w:sz w:val="40"/>
        </w:rPr>
        <w:t xml:space="preserve">  The Southern Company</w:t>
      </w:r>
    </w:p>
    <w:p>
      <w:pPr>
        <w:spacing w:after="120"/>
      </w:pPr>
      <w:r>
        <w:rPr>
          <w:rFonts w:ascii="Calibri" w:hAnsi="Calibri"/>
          <w:b/>
          <w:color w:val="6E8450"/>
          <w:sz w:val="18"/>
        </w:rPr>
        <w:t>DIVIDEND SLEEVE · 2026-03-31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The Southern Company, through its subsidiaries, engages in the generation, transmission, and distribution of electricity. It serves approximately 9 million customers across the southeastern United States and also distributes natural gas in Illinois, Georgia, Virginia, and Tennessee. The company develops power generation assets including nuclear, natural gas, solar, and battery storage, and deploys microgrids for commercial, industrial, and utility customers.</w:t>
      </w:r>
    </w:p>
    <w:p>
      <w:r>
        <w:rPr>
          <w:rFonts w:ascii="Calibri" w:hAnsi="Calibri"/>
          <w:b/>
          <w:color w:val="6E8450"/>
          <w:sz w:val="18"/>
        </w:rPr>
        <w:t>29,502 Employees · https://www.southerncompany.com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Southern Company demonstrates a robust innovation track record anchored by its completion of the Vogtle Units 3 and 4 — the first new U.S. nuclear reactors in over 30 years — and a $15 billion Georgia Power infrastructure expansion plan targeting data center demand [1][2]. The company is a founding partner of Energy Impact Partners and has deployed solutions from over 35 portfolio companies, including Aetos digital twin technology, Urbint worker safety AI, and Datch voice AI for operator productivity [3]. R&amp;D intensity is above utility-sector norms through its deep collaboration with EPRI on the Open Power AI Consortium, training AI models specifically for the electric power industry [3]. The 75 GW large-load pipeline and 26 signed contracts totaling 10 GW position Southern as a primary infrastructure beneficiary of the AI revolution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Chris Womack, a 35-year company veteran who succeeded Tom Fanning in 2023, brings a transformative leadership style focused on culture and equity, including a $200 million pledge to advance racial equity and $50 million for HBCUs [4][5]. Glassdoor ratings of 4.1/5.0 with 84% employee recommendation rate and top-10% executive team ratings on Comparably reflect genuinely strong employee sentiment [3]. However, the company's $62 million in historical climate disinformation spending (1993-2004) and recent moves to extend coal plant operations to meet data center demand undercut the authenticity of its stated sustainability mission [5]. The 30 employee-led resource groups and strong leadership development programs demonstrate real investment in workforce culture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Southern Company's financial infrastructure reflects the stability of a regulated utility model with 76+ years of consecutive dividend payments and 24 years of consecutive dividend growth, though elevated leverage (D/E 190.6%) from the Vogtle build-out and modest profit margins (14.7%) are partially offset by strong revenue momentum (10.1% YoY growth) and a favorable forward P/E of 19.7x [1][2]. Payout ratio at 75% is manageable but leaves limited room for accelerated dividend growth, as evidenced by the modest 3.0% five-year dividend CAGR [1]. The 2026 EPS guidance of $4.50-$4.60 represents ~7% growth, with management targeting ~8% average annual adjusted EPS growth through 2030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Southern Company exhibits a mixed infinite game posture: its 76-year dividend streak, multi-decade nuclear investment horizon, and 2050 net-zero pledge reflect genuine long-term orientation, but the recent coal plant life extensions and historical climate disinformation spending reveal a willingness to compromise stated principles when short-term demand pressures arise [1][5].</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Southern's stated mission to provide clean, safe, reliable, and affordable energy to 9 million customers has been demonstrated through the Vogtle nuclear completion — a generational infrastructure project that endured massive cost overruns but delivers carbon-free baseload power for decades [1][2]. The $200 million racial equity pledge and HBCU investments add social dimension, though the cause is undermined by the company's history of climate science denial and recent coal plant extensions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4.1/5.0 rating with 84% recommendation rate and top-10% Comparably executive team scores indicate strong employee trust, supported by 30 employee-led resource groups and a recognized leadership development pipeline [3]. CEO Womack's promotion from within after 35 years signals a culture that rewards long-tenured, mission-aligned leaders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Southern Company actively engages with worthy rivals through its founding partnership in Energy Impact Partners alongside peer utilities like Duke Energy and Exelon, treating the consortium as a collaborative innovation platform rather than a zero-sum competitive arena [3]. The EPRI Open Power AI Consortium further demonstrates willingness to co-develop industry-wide AI standards with competitors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Vogtle nuclear completion and pivot to data center infrastructure demonstrate significant strategic flexibility over multi-decade timelines, though the coal plant life extensions to meet near-term data center demand suggest Southern struggles to fully abandon legacy assets even when doing so contradicts its net-zero goals [1][5]. The $15 billion Georgia Power investment plan shows willingness to make large bets on new demand paradigms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Southern's courage to lead is diminished by its historical pattern of defending incumbency over principle — $62 million in climate disinformation spending, $135 million in federal lobbying from 2010-2020, and the recent coal plant extensions that appear to abandon net-zero commitments in favor of near-term revenue from data centers [5]. The Kemper 'clean coal' project failure ($6.58 billion in overruns, SEC investigation) further reflects leadership willing to pursue politically expedient narratives over honest assessment of technological readiness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Southern Company offers a compelling regulated utility investment thesis anchored by its position at the intersection of AI-driven electricity demand growth and critical infrastructure investment. With 26 signed large-load contracts totaling 10 GW, a 75 GW pipeline, and Georgia Power's $15 billion approved expansion plan, the company is converting the data center boom into durable, rate-base-driven earnings growth [1][2]. Management's guidance for ~8% average annual EPS growth through 2030 represents a significant acceleration from the historical utility norm, supported by 9% annual rate-base expansion [1].</w:t>
      </w:r>
    </w:p>
    <w:p>
      <w:pPr>
        <w:spacing w:after="120"/>
      </w:pPr>
      <w:r>
        <w:rPr>
          <w:rFonts w:ascii="Calibri" w:hAnsi="Calibri"/>
          <w:b w:val="0"/>
          <w:color w:val="3A4A28"/>
          <w:sz w:val="20"/>
        </w:rPr>
        <w:t>The investment case is tempered by elevated leverage (D/E 190.6%) from the Vogtle build-out, modest dividend growth (3.0% five-year CAGR) relative to the 3.05% yield, and reputational risk from coal plant life extensions that contradict net-zero commitments [1][5]. The stock trades at 19.7x forward earnings, a reasonable premium for a utility with above-average growth visibility but pricing in much of the near-term data center catalyst. Southern is best suited for income-oriented investors seeking regulated utility exposure with a structural demand tailwind, though the ESG contradictions and execution risk on the massive capital program warrant a HOLD rather than a BUY at current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the 75 GW large-load pipeline into signed contracts, with each incremental data center agreement adding years of rate-base growth visibility [1]</w:t>
      </w:r>
    </w:p>
    <w:p>
      <w:pPr>
        <w:spacing w:before="40" w:after="40"/>
        <w:ind w:left="283"/>
      </w:pPr>
      <w:r>
        <w:rPr>
          <w:rFonts w:ascii="Calibri" w:hAnsi="Calibri"/>
          <w:b/>
          <w:color w:val="4A6B25"/>
          <w:sz w:val="20"/>
        </w:rPr>
        <w:t xml:space="preserve">2. </w:t>
      </w:r>
      <w:r>
        <w:rPr>
          <w:rFonts w:ascii="Calibri" w:hAnsi="Calibri"/>
          <w:b w:val="0"/>
          <w:color w:val="3A4A28"/>
          <w:sz w:val="20"/>
        </w:rPr>
        <w:t>Georgia Power's $15 billion infrastructure expansion execution, including new generation and grid modernization, which directly feeds earnings growth through regulated rate recovery [2]</w:t>
      </w:r>
    </w:p>
    <w:p>
      <w:pPr>
        <w:spacing w:before="40" w:after="40"/>
        <w:ind w:left="283"/>
      </w:pPr>
      <w:r>
        <w:rPr>
          <w:rFonts w:ascii="Calibri" w:hAnsi="Calibri"/>
          <w:b/>
          <w:color w:val="4A6B25"/>
          <w:sz w:val="20"/>
        </w:rPr>
        <w:t xml:space="preserve">3. </w:t>
      </w:r>
      <w:r>
        <w:rPr>
          <w:rFonts w:ascii="Calibri" w:hAnsi="Calibri"/>
          <w:b w:val="0"/>
          <w:color w:val="3A4A28"/>
          <w:sz w:val="20"/>
        </w:rPr>
        <w:t>Achievement of the ~8% adjusted EPS growth trajectory through 2030, validating the demand-driven earnings acceleration thesis above historical utility growth 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pushback on rate increases needed to fund the massive capital program, particularly if data center load growth disappoints or customers relocate to other jurisdictions [1][2]</w:t>
      </w:r>
    </w:p>
    <w:p>
      <w:pPr>
        <w:spacing w:before="40" w:after="40"/>
        <w:ind w:left="283"/>
      </w:pPr>
      <w:r>
        <w:rPr>
          <w:rFonts w:ascii="Calibri" w:hAnsi="Calibri"/>
          <w:b/>
          <w:color w:val="4A6B25"/>
          <w:sz w:val="20"/>
        </w:rPr>
        <w:t xml:space="preserve">2. </w:t>
      </w:r>
      <w:r>
        <w:rPr>
          <w:rFonts w:ascii="Calibri" w:hAnsi="Calibri"/>
          <w:b w:val="0"/>
          <w:color w:val="3A4A28"/>
          <w:sz w:val="20"/>
        </w:rPr>
        <w:t>Reputational and regulatory risk from coal plant life extensions, which could trigger ESG fund exclusions and undermine the company's clean energy narrative [5]</w:t>
      </w:r>
    </w:p>
    <w:p>
      <w:pPr>
        <w:spacing w:before="40" w:after="40"/>
        <w:ind w:left="283"/>
      </w:pPr>
      <w:r>
        <w:rPr>
          <w:rFonts w:ascii="Calibri" w:hAnsi="Calibri"/>
          <w:b/>
          <w:color w:val="4A6B25"/>
          <w:sz w:val="20"/>
        </w:rPr>
        <w:t xml:space="preserve">3. </w:t>
      </w:r>
      <w:r>
        <w:rPr>
          <w:rFonts w:ascii="Calibri" w:hAnsi="Calibri"/>
          <w:b w:val="0"/>
          <w:color w:val="3A4A28"/>
          <w:sz w:val="20"/>
        </w:rPr>
        <w:t>Execution risk on the capital-intensive build-out program, echoing the Vogtle and Kemper precedents where Southern's mega-projects experienced severe cost overruns and delays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Southern Company is uniquely positioned as both a supplier to and beneficiary of the AI revolution, creating a virtuous cycle that substantially mitigates disruption risk [3]. The company's southeastern U.S. service territory has become the epicenter of the global data center boom, with Georgia Power's $15 billion approved spending plan converting AI-driven demand into secure, long-term regulated revenue [1][2]. Internally, Southern has deployed AI comprehensively across grid operations (Aetos digital twins), worker safety (Urbint), regulatory compliance (HData), and customer engagement (generative AI Customer Lakehouse), making it one of the most AI-forward utilities globally [3]. The regulated utility model provides a natural moat against disruption, while the structural demand tailwind from AI infrastructure makes Southern a net beneficiary of AI proliferation — the risk would only materialize if distributed energy resources displaced centralized generation faster than Southern can adapt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Southern Company Q4 2025 Earnings Release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Georgia Power Integrated Resource Plan and $15B Infrastructure Approval, 2025-2026</w:t>
      </w:r>
    </w:p>
    <w:p>
      <w:pPr>
        <w:spacing w:before="20" w:after="20"/>
        <w:ind w:left="170"/>
      </w:pPr>
      <w:r>
        <w:rPr>
          <w:rFonts w:ascii="Calibri" w:hAnsi="Calibri"/>
          <w:b/>
          <w:color w:val="4A6B25"/>
          <w:sz w:val="15"/>
        </w:rPr>
        <w:t xml:space="preserve">3. </w:t>
      </w:r>
      <w:r>
        <w:rPr>
          <w:rFonts w:ascii="Calibri" w:hAnsi="Calibri"/>
          <w:b w:val="0"/>
          <w:color w:val="3A4A28"/>
          <w:sz w:val="17"/>
        </w:rPr>
        <w:t>Southern Company AI Strategy and Innovation Portfolio — Energy Impact Partners, EPRI Open Power AI Consortium,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Glassdoor Southern Company Reviews (1,020 reviews, 4.1/5.0 rating),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Energy and Policy Institute — Southern Company Coal Plant Extensions and Climate Disinformation History; Wikipedia — Southern Company controversies,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