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SPCE</w:t>
      </w:r>
      <w:r>
        <w:rPr>
          <w:rFonts w:ascii="Calibri" w:hAnsi="Calibri"/>
          <w:b/>
          <w:color w:val="1A2010"/>
          <w:sz w:val="40"/>
        </w:rPr>
        <w:t xml:space="preserve">  Virgin Galactic Holdings, Inc.</w:t>
      </w:r>
    </w:p>
    <w:p>
      <w:pPr>
        <w:spacing w:after="120"/>
      </w:pPr>
      <w:r>
        <w:rPr>
          <w:rFonts w:ascii="Calibri" w:hAnsi="Calibri"/>
          <w:b/>
          <w:color w:val="6E8450"/>
          <w:sz w:val="18"/>
        </w:rPr>
        <w:t>GROWTH SLEEVE · 2026-04-08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Virgin Galactic Holdings, Inc. is an aerospace and space travel company focused on the development, manufacture, and operation of spaceships and related technologies. It designs, builds, and operates suborbital spacecraft to carry private astronauts to the edge of space, targeting both consumer and scientific research markets.</w:t>
      </w:r>
    </w:p>
    <w:p>
      <w:r>
        <w:rPr>
          <w:rFonts w:ascii="Calibri" w:hAnsi="Calibri"/>
          <w:b/>
          <w:color w:val="6E8450"/>
          <w:sz w:val="18"/>
        </w:rPr>
        <w:t>https://www.virgingalactic.com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Virgin Galactic established a meaningful track record with successful commercial spaceflights aboard VSS Unity in 2023, becoming one of the first companies to carry paying passengers to suborbital space [1]. The Delta-class SpaceShip program, targeting a 10+ flights per month cadence and ground testing in April 2026, represents a significant pipeline advance over the prior generation [2]. However, AI deployment within operations remains minimal, and the company's revenue share in the nascent commercial spaceflight market is negligible compared to well-capitalized rivals — full-year 2025 revenue was only $1.54 million.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Virgin Galactic carries a powerful aspirational mission — expanding the community of astronauts and opening space to private citizens — which earns a meaningful mission quality floor [1]. However, at $750,000 per ticket the product targets ultra-high-net-worth individuals rather than any broad community, and there are no notable community-impact programs or disclosed employee retention data [2]. Insider buying has been absent amid ongoing cash burn and dilution concerns, limiting the inspiration score.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Financial infrastructure is critically distressed across every mechanical metric: ROE of -93.6%, revenue declined 27.3% year-over-year to $1.54M for FY2025, profit margin is effectively zero, and forward P/E is deeply negative [1]. Debt-to-equity of 137 is elevated, and free cash flow burned $438M in 2025, with Q1 2026 guidance projecting another $90–95M outflow against only ~$200K expected revenue [2]. The stock passes the liquidity floor ($2.99 × ~4M avg daily volume ≈ $12M), but all financial scoring components register at or near 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Virgin Galactic plays a distinctly long-horizon game, voluntarily pausing commercial operations and sustaining $400M+ annual cash burn to build a superior next-generation spacecraft rather than extracting near-term revenue from an aging vehicle [1]. The appointment of a Chief Growth Officer with Uber/Cruise pedigree and the full-fleet pivot to the Delta class signal willingness to fundamentally restructure operations for long-term viability [2]. Leadership explicitly differentiates around consumer accessibility rather than competing head-to-head with SpaceX on orbital capability, suggesting mature strategic positioning.</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to expand the community of astronauts and make the overview effect broadly accessible is a genuinely compelling just cause with multi-generational relevance [1]. Management consistently frames the endeavor as societal expansion rather than luxury tourism, though repeated launch deferrals and the $750K price point have tested the authenticity of that narrative [2]. Score reflects real mission articulation with some execution credibility gap.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appointment of Megan Prichard as Chief Growth Officer demonstrates a willingness to bring in external senior talent and delegate significant strategic responsibility [2]. However, employee headcount is not publicly disclosed, multiple leadership transitions occurred during 2024–2025, and the organizational restructuring leaves the team-trust culture difficult to assess externally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Virgin Galactic has carved a clearly differentiated lane in suborbital consumer experiences rather than attempting to match SpaceX or Blue Origin on orbital payload delivery, reflecting genuine rival-awareness in strategic positioning [1]. The renewed ticket sales announcement and research-mission expansion signal conscious differentiation rather than reactive positioning against better-capitalized competitors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retire the entire Unity-era fleet and commit fully to the Delta-class SpaceShip — incurring a complete revenue pause — represents a decisive existential pivot toward long-term platform viability over short-term revenue preservation [1]. Multi-spaceport expansion planning and research-mission diversification further demonstrate willingness to fundamentally reshape the business model rather than optimize what exists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Voluntarily suspending commercial spaceflight operations to develop a superior vehicle — while burning over $400M per year — demands substantial leadership courage and long-horizon conviction [1]. Hiring senior growth leadership during a financially distressed period and publicly committing to specific 2026 commercial service milestones further signals a management team building toward a future state rather than managing a decline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Virgin Galactic is a high-risk, high-optionality bet on commercial private spaceflight, currently in a capital-intensive rebuild phase as it transitions from its Unity-era vehicles to the next-generation Delta-class SpaceShip targeting commercial service in Q4 2026 at $750,000 per ticket [1]. With a projected flight cadence of 125 missions per year using two ships and a long-term revenue target of $450M annually with $100M EBITDA, the model is compelling if execution holds [2].</w:t>
      </w:r>
    </w:p>
    <w:p>
      <w:pPr>
        <w:spacing w:after="120"/>
      </w:pPr>
      <w:r>
        <w:rPr>
          <w:rFonts w:ascii="Calibri" w:hAnsi="Calibri"/>
          <w:b w:val="0"/>
          <w:color w:val="3A4A28"/>
          <w:sz w:val="20"/>
        </w:rPr>
        <w:t>The company burned $438M in free cash flow in FY2025 and generates near-zero revenue today, making the thesis entirely forward-looking and dependent on successful spacecraft completion, FAA recertification, and sustained demand from high-net-worth customers [1]. The April 2026 ticket sales resumption and new CGO hire are positive signals, but investors must weigh severe dilution risk and cash runway uncertainty against Virgin Galactic's first-mover brand value in consumer spaceflight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Delta-class SpaceShip ground testing (April 2026) and flight testing (Q3 2026 target), validating the path to Q4 2026 commercial service launch [1]</w:t>
      </w:r>
    </w:p>
    <w:p>
      <w:pPr>
        <w:spacing w:before="40" w:after="40"/>
        <w:ind w:left="283"/>
      </w:pPr>
      <w:r>
        <w:rPr>
          <w:rFonts w:ascii="Calibri" w:hAnsi="Calibri"/>
          <w:b/>
          <w:color w:val="4A6B25"/>
          <w:sz w:val="20"/>
        </w:rPr>
        <w:t xml:space="preserve">2. </w:t>
      </w:r>
      <w:r>
        <w:rPr>
          <w:rFonts w:ascii="Calibri" w:hAnsi="Calibri"/>
          <w:b w:val="0"/>
          <w:color w:val="3A4A28"/>
          <w:sz w:val="20"/>
        </w:rPr>
        <w:t>Resumption of ticket sales in April 2026 at $750,000 per seat, potentially re-engaging the existing reservation waitlist and providing visible revenue backlog entering 2027 [2]</w:t>
      </w:r>
    </w:p>
    <w:p>
      <w:pPr>
        <w:spacing w:before="40" w:after="40"/>
        <w:ind w:left="283"/>
      </w:pPr>
      <w:r>
        <w:rPr>
          <w:rFonts w:ascii="Calibri" w:hAnsi="Calibri"/>
          <w:b/>
          <w:color w:val="4A6B25"/>
          <w:sz w:val="20"/>
        </w:rPr>
        <w:t xml:space="preserve">3. </w:t>
      </w:r>
      <w:r>
        <w:rPr>
          <w:rFonts w:ascii="Calibri" w:hAnsi="Calibri"/>
          <w:b w:val="0"/>
          <w:color w:val="3A4A28"/>
          <w:sz w:val="20"/>
        </w:rPr>
        <w:t>Chief Growth Officer Megan Prichard securing research-mission contracts and spaceport partnerships to diversify revenue beyond consumer ticket sales and reduce reliance on a single revenue stream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~$90–95M per quarter with near-zero current revenue creates acute capital raise risk; further dilution or debt financing could substantially erode shareholder value [1]</w:t>
      </w:r>
    </w:p>
    <w:p>
      <w:pPr>
        <w:spacing w:before="40" w:after="40"/>
        <w:ind w:left="283"/>
      </w:pPr>
      <w:r>
        <w:rPr>
          <w:rFonts w:ascii="Calibri" w:hAnsi="Calibri"/>
          <w:b/>
          <w:color w:val="4A6B25"/>
          <w:sz w:val="20"/>
        </w:rPr>
        <w:t xml:space="preserve">2. </w:t>
      </w:r>
      <w:r>
        <w:rPr>
          <w:rFonts w:ascii="Calibri" w:hAnsi="Calibri"/>
          <w:b w:val="0"/>
          <w:color w:val="3A4A28"/>
          <w:sz w:val="20"/>
        </w:rPr>
        <w:t>Delta-class SpaceShip development delays or FAA certification setbacks could push commercial service into 2027 or beyond, potentially exhausting liquidity before revenue ramp [1]</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from Blue Origin's New Shepard and SpaceX's emerging consumer programs could erode Virgin Galactic's first-mover pricing premium and reservation demand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Space tourism is inherently a physical, experiential product — the core value of going to space cannot be replicated or substituted by AI — placing the business in a structurally low AI-substitution risk category [1]. AI does enable meaningful operational upside in spacecraft design optimization, predictive maintenance, and mission planning, but Virgin Galactic remains too early-stage to have deployed these capabilities meaningfully [2]. The primary existential threats to SPCE are financial and competitive rather than AI-driven, keeping AI disruption risk moderate while opportunity remains modest.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Virgin Galactic Holdings, Inc. Q4 2025 Earnings Release and Call Highlights, March 30, 2026 — via Yahoo Finance / StockTitan</w:t>
      </w:r>
    </w:p>
    <w:p>
      <w:pPr>
        <w:spacing w:before="20" w:after="20"/>
        <w:ind w:left="170"/>
      </w:pPr>
      <w:r>
        <w:rPr>
          <w:rFonts w:ascii="Calibri" w:hAnsi="Calibri"/>
          <w:b/>
          <w:color w:val="4A6B25"/>
          <w:sz w:val="15"/>
        </w:rPr>
        <w:t xml:space="preserve">2. </w:t>
      </w:r>
      <w:r>
        <w:rPr>
          <w:rFonts w:ascii="Calibri" w:hAnsi="Calibri"/>
          <w:b w:val="0"/>
          <w:color w:val="3A4A28"/>
          <w:sz w:val="17"/>
        </w:rPr>
        <w:t>Virgin Galactic Rockets 18% Higher as Ticket Sales Return, Spacecraft Ground Testing Looms — 24/7 Wall St., April 6, 2026; Virgin Galactic Enlists Former Uber Exec to Propel Growth — StocksToTrade, April 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