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SPGI</w:t>
      </w:r>
      <w:r>
        <w:rPr>
          <w:rFonts w:ascii="Calibri" w:hAnsi="Calibri"/>
          <w:b/>
          <w:color w:val="1A2010"/>
          <w:sz w:val="40"/>
        </w:rPr>
        <w:t xml:space="preserve">  S&amp;P Global Inc.</w:t>
      </w:r>
    </w:p>
    <w:p>
      <w:pPr>
        <w:spacing w:after="120"/>
      </w:pPr>
      <w:r>
        <w:rPr>
          <w:rFonts w:ascii="Calibri" w:hAnsi="Calibri"/>
          <w:b/>
          <w:color w:val="6E8450"/>
          <w:sz w:val="18"/>
        </w:rPr>
        <w:t>GROWTH SLEEVE · 2026-04-13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NYSE · United States</w:t>
      </w:r>
    </w:p>
    <w:p>
      <w:pPr>
        <w:spacing w:after="80"/>
      </w:pPr>
      <w:r>
        <w:rPr>
          <w:rFonts w:ascii="Calibri" w:hAnsi="Calibri"/>
          <w:b w:val="0"/>
          <w:color w:val="3A4A28"/>
          <w:sz w:val="20"/>
        </w:rPr>
        <w:t>S&amp;P Global is the leading provider of credit ratings, benchmarks, indices, and data analytics to the global capital markets. Divisions include Ratings, Market Intelligence, Indices (S&amp;P 500/Dow Jones), Commodity Insights (Platts), and Mobility. CEO Martina Cheung (since November 2024) is accelerating GenAI integration via Capital IQ Pro, SparkAIR risk analytics, and the new Chief Technology &amp; Transformation Officer role [3].</w:t>
      </w:r>
    </w:p>
    <w:p>
      <w:r>
        <w:rPr>
          <w:rFonts w:ascii="Calibri" w:hAnsi="Calibri"/>
          <w:b/>
          <w:color w:val="6E8450"/>
          <w:sz w:val="18"/>
        </w:rPr>
        <w:t>40,500 Employees · https://www.spglobal.com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Q4 2025 revenue of $3.916B (+9% YoY), full-year 2025 revenue of $15.336B (+8%), and 2025 GAAP EPS of $14.66 (+19%) demonstrate sustained outperformance [1]. Adjusted operating margin expanded 60bps to 47.3% in Q4 [1]. AI Deployment (2/2): GenAI integrated into Capital IQ Pro, SparkAIR AI risk analytics platform, and Sustainable1 ESG benchmarking; March 2026 hire of Firdaus Bhathena as CTO/Transformation Officer signals deeper AI scaling [3]. Market Share (2/2): Dominates global credit ratings (with Moody's), the S&amp;P 500 / Dow Jones Indices franchise is the world's most-licensed equity benchmark family, and Platts is the gold standard in energy price assessments. Pipeline (1/2): 2026 organic CC growth guide of 6-8% and adjusted EPS guide of $19.40-$19.65 (+9-10%) signal continued momentum, but stock plunged in February 2026 on guidance perceived as below buyside whispers [4]. R&amp;D Intensity (0/1): R&amp;D is embedded in product/data platforms rather than disclosed as a separate line; AI investment is meaningful but not premium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Mission to deliver 'Essential Intelligence' powering global capital markets is durable and credible; SPGI's data and ratings are systemic infrastructure for $80T+ in global debt markets [3]. Community Impact (2/2): Sustainable1 ESG benchmarking covers 15,000+ companies, and the S&amp;P 500 is the foundational benchmark for $13T+ in passive investment vehicles supporting retirement savings worldwide. Employee Retention (1/2): Cheung notes half of new leadership team comes from internal promotions, signaling strong development culture [3]. Insider Buying (1/2): SPGI returned 113% of adjusted FCF to shareholders in 2025 and repurchased $5B+ in stock, with $1B more buybacks in early 2026 — strong capital-allocation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SPGI is a cash-flow machine: 2025 revenue $15.336B (+8%) with 47.3% adjusted operating margin (Q4) and FY26 EPS guide $19.40-$19.65 (+9-10%) [1]. Stock at $417 trades at 28.4x trailing P/E and 22.1x forward P/E — reasonable for a 47%+ margin compounder with mid-single-digit organic growth [5]. Returned 113% of adjusted FCF to shareholders in 2025 and committed another $1B in buybacks in Q1 2026 [1]. Dividend yield of 0.91% ($3.88 annual) is modest but supported by 50+ years of consecutive growth (Dividend King) and ~25% payout ratio. Balance sheet is strong with investment-grade credit and modest leverage. Liquidity easily cleared given ~$130B market cap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S&amp;P Global has played the infinite game for 165+ years — from Henry Varnum Poor's 1860 railroad analysis to today's AI-powered Capital IQ Pro. Cheung's leadership emphasizes culture, internal promotion, and building enduring data infrastructure rather than quarterly optimization. The Dividend King status (53 consecutive years of dividend increases) is the clearest signal of infinite stewardship.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to provide 'Essential Intelligence' that powers global capital markets is enduring and forward-looking; SPGI's data shapes capital allocation decisions across trillions in assets [3]. The expansion into ESG and AI shows the cause continues to evolve.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Cheung emphasizes culture and notes half of new leadership team are internal promotions, signaling psychological safety and development [3]. The IHS Markit integration retained key talent and the company consistently appears on best-employer lists, though specific Glassdoor rating not surfaced in research.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SPGI competes head-to-head with Moody's (ratings), MSCI (indices), Bloomberg (data), and FactSet (workflow tools) and uses each rivalry to push innovation — SparkAIR and Capital IQ Pro upgrades show competitive sharpening [3][4].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SPGI has continually reshaped itself: divestiture of McGraw-Hill Education, IHS Markit merger (2022), divesting non-core assets, and now full GenAI rebuild of products [3]. The OSTTRA JV deconsolidation and CTO/Transformation Officer hire are 2026 examples of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Cheung, in her first year as CEO, executed the IHS Markit integration completion, navigated AI disruption with proactive product builds (SparkAIR), and weathered the February 2026 stock plunge by maintaining disciplined long-term guidance [1][4]. Returning 113% of FCF to shareholders shows confidence in the long-term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S&amp;P Global is a wide-moat compounder powering global capital markets with credit ratings, indices (S&amp;P 500), Capital IQ data, and Platts commodity benchmarks [3]. 2025 delivered $15.336B revenue (+8%), GAAP EPS of $14.66 (+19%), and 47.3% adjusted operating margin, with 113% of FCF returned to shareholders via $5B+ in buybacks [1]. CEO Martina Cheung is accelerating GenAI integration via Capital IQ Pro, SparkAIR risk analytics, and the new Chief Technology &amp; Transformation Officer role to defend and extend the data moat [3]. The 53-year dividend growth streak (Dividend King) reflects infinite-game stewardship. At 22.1x forward P/E and 0.91% yield, SPGI is fairly valued for 6-8% organic growth, 9-10% EPS growth, and one of the most defensible business models in financials [5].</w:t>
      </w:r>
    </w:p>
    <w:p>
      <w:pPr>
        <w:spacing w:after="120"/>
      </w:pPr>
      <w:r>
        <w:rPr>
          <w:rFonts w:ascii="Calibri" w:hAnsi="Calibri"/>
          <w:b w:val="0"/>
          <w:color w:val="3A4A28"/>
          <w:sz w:val="20"/>
        </w:rPr>
        <w:t>The bear case starts with valuation: at 28.4x trailing P/E, SPGI prices in continued execution and tolerates little margin for error — the February 2026 stock plunge on 'in-line' 2026 guidance shows how high expectations are [4]. EU AI Act classifying credit scoring as high-risk could increase compliance costs, and global ESG backlash creates regulatory volatility around Sustainable1. Indices business is exposed to passive ETF outflows in market drawdowns, and Ratings revenue cyclicality tracks debt issuance volumes. AI also creates a long-tail competitive risk if open-source models commoditize basic analytics. Inspire score of -49 reflects LGBT activism attribution; on the positive side, SPGI scores well on business resilience, customer welfare, ethical labor, and 16 other ESG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GenAI product wave — Capital IQ Pro, SparkAIR, and Sustainable1 expansion driving 6-8% organic constant-currency revenue growth in 2026 [1][3]</w:t>
      </w:r>
    </w:p>
    <w:p>
      <w:pPr>
        <w:spacing w:before="40" w:after="40"/>
        <w:ind w:left="283"/>
      </w:pPr>
      <w:r>
        <w:rPr>
          <w:rFonts w:ascii="Calibri" w:hAnsi="Calibri"/>
          <w:b/>
          <w:color w:val="4A6B25"/>
          <w:sz w:val="20"/>
        </w:rPr>
        <w:t xml:space="preserve">2. </w:t>
      </w:r>
      <w:r>
        <w:rPr>
          <w:rFonts w:ascii="Calibri" w:hAnsi="Calibri"/>
          <w:b w:val="0"/>
          <w:color w:val="3A4A28"/>
          <w:sz w:val="20"/>
        </w:rPr>
        <w:t>$1B+ additional buybacks in Q1 2026 plus continued return of 100%+ adjusted FCF to shareholders supporting EPS growth [1]</w:t>
      </w:r>
    </w:p>
    <w:p>
      <w:pPr>
        <w:spacing w:before="40" w:after="40"/>
        <w:ind w:left="283"/>
      </w:pPr>
      <w:r>
        <w:rPr>
          <w:rFonts w:ascii="Calibri" w:hAnsi="Calibri"/>
          <w:b/>
          <w:color w:val="4A6B25"/>
          <w:sz w:val="20"/>
        </w:rPr>
        <w:t xml:space="preserve">3. </w:t>
      </w:r>
      <w:r>
        <w:rPr>
          <w:rFonts w:ascii="Calibri" w:hAnsi="Calibri"/>
          <w:b w:val="0"/>
          <w:color w:val="3A4A28"/>
          <w:sz w:val="20"/>
        </w:rPr>
        <w:t>Operating margin expansion of 50-75bps (organic CC ex-OSTTRA) driving FY26 adjusted EPS to $19.40-$19.65 (+9-10%)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re-rating risk — February 2026 stock plunge on guidance highlights vulnerability at 28x trailing P/E if growth disappoints [4]</w:t>
      </w:r>
    </w:p>
    <w:p>
      <w:pPr>
        <w:spacing w:before="40" w:after="40"/>
        <w:ind w:left="283"/>
      </w:pPr>
      <w:r>
        <w:rPr>
          <w:rFonts w:ascii="Calibri" w:hAnsi="Calibri"/>
          <w:b/>
          <w:color w:val="4A6B25"/>
          <w:sz w:val="20"/>
        </w:rPr>
        <w:t xml:space="preserve">2. </w:t>
      </w:r>
      <w:r>
        <w:rPr>
          <w:rFonts w:ascii="Calibri" w:hAnsi="Calibri"/>
          <w:b w:val="0"/>
          <w:color w:val="3A4A28"/>
          <w:sz w:val="20"/>
        </w:rPr>
        <w:t>EU AI Act classifying AI credit scoring as 'high-risk' starting August 2026 increases compliance costs and audit burden [4]</w:t>
      </w:r>
    </w:p>
    <w:p>
      <w:pPr>
        <w:spacing w:before="40" w:after="40"/>
        <w:ind w:left="283"/>
      </w:pPr>
      <w:r>
        <w:rPr>
          <w:rFonts w:ascii="Calibri" w:hAnsi="Calibri"/>
          <w:b/>
          <w:color w:val="4A6B25"/>
          <w:sz w:val="20"/>
        </w:rPr>
        <w:t xml:space="preserve">3. </w:t>
      </w:r>
      <w:r>
        <w:rPr>
          <w:rFonts w:ascii="Calibri" w:hAnsi="Calibri"/>
          <w:b w:val="0"/>
          <w:color w:val="3A4A28"/>
          <w:sz w:val="20"/>
        </w:rPr>
        <w:t>Ratings revenue cyclicality tied to corporate debt issuance — a credit market downturn could materially compress the highest-margin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SPGI's data is the substrate AI models train on — ratings, indices, commodity benchmarks, and Capital IQ datasets are licensed, copyright-protected, and irreplaceable [3]. The regulatory franchise (NRSRO ratings) creates a near-impenetrable moat, and the EU AI Act classifying credit scoring as 'high-risk' actually deepens the moat by raising compliance barriers for new entrants [4]. AI Opportunity (1/1): GenAI in Capital IQ Pro, SparkAIR, and the new CTO/Transformation officer role show concrete monetization of AI as productivity and product enhancement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S&amp;P Global Q4 and Full-Year 2025 results press release — Q4 revenue $3.916B (+9%), FY revenue $15.336B (+8%), GAAP EPS $14.66 (+19%), adj operating margin 47.3%, FY26 guide 6-8% organic CC growth and EPS $19.40-$19.65</w:t>
      </w:r>
    </w:p>
    <w:p>
      <w:pPr>
        <w:spacing w:before="20" w:after="20"/>
        <w:ind w:left="170"/>
      </w:pPr>
      <w:r>
        <w:rPr>
          <w:rFonts w:ascii="Calibri" w:hAnsi="Calibri"/>
          <w:b/>
          <w:color w:val="4A6B25"/>
          <w:sz w:val="15"/>
        </w:rPr>
        <w:t xml:space="preserve">2. </w:t>
      </w:r>
      <w:r>
        <w:rPr>
          <w:rFonts w:ascii="Calibri" w:hAnsi="Calibri"/>
          <w:b w:val="0"/>
          <w:color w:val="3A4A28"/>
          <w:sz w:val="17"/>
        </w:rPr>
        <w:t>S&amp;P Global Q4 2025 earnings call — capital return 113% of adj FCF, $5B+ 2025 buybacks, $1B more in Q1 2026</w:t>
      </w:r>
    </w:p>
    <w:p>
      <w:pPr>
        <w:spacing w:before="20" w:after="20"/>
        <w:ind w:left="170"/>
      </w:pPr>
      <w:r>
        <w:rPr>
          <w:rFonts w:ascii="Calibri" w:hAnsi="Calibri"/>
          <w:b/>
          <w:color w:val="4A6B25"/>
          <w:sz w:val="15"/>
        </w:rPr>
        <w:t xml:space="preserve">3. </w:t>
      </w:r>
      <w:r>
        <w:rPr>
          <w:rFonts w:ascii="Calibri" w:hAnsi="Calibri"/>
          <w:b w:val="0"/>
          <w:color w:val="3A4A28"/>
          <w:sz w:val="17"/>
        </w:rPr>
        <w:t>S&amp;P Global press releases and Women We Admire — CEO Martina Cheung priorities: GenAI in Capital IQ Pro, SparkAIR, Sustainable1, and the March 2026 CTO/Transformation Officer hire</w:t>
      </w:r>
    </w:p>
    <w:p>
      <w:pPr>
        <w:spacing w:before="20" w:after="20"/>
        <w:ind w:left="170"/>
      </w:pPr>
      <w:r>
        <w:rPr>
          <w:rFonts w:ascii="Calibri" w:hAnsi="Calibri"/>
          <w:b/>
          <w:color w:val="4A6B25"/>
          <w:sz w:val="15"/>
        </w:rPr>
        <w:t xml:space="preserve">4. </w:t>
      </w:r>
      <w:r>
        <w:rPr>
          <w:rFonts w:ascii="Calibri" w:hAnsi="Calibri"/>
          <w:b w:val="0"/>
          <w:color w:val="3A4A28"/>
          <w:sz w:val="17"/>
        </w:rPr>
        <w:t>FinancialContent Deep Dive: SPGI navigating AI Frontier and Market Volatility 2026; A Crisis of Expectations: SPGI 2026 outlook plunge</w:t>
      </w:r>
    </w:p>
    <w:p>
      <w:pPr>
        <w:spacing w:before="20" w:after="20"/>
        <w:ind w:left="170"/>
      </w:pPr>
      <w:r>
        <w:rPr>
          <w:rFonts w:ascii="Calibri" w:hAnsi="Calibri"/>
          <w:b/>
          <w:color w:val="4A6B25"/>
          <w:sz w:val="15"/>
        </w:rPr>
        <w:t xml:space="preserve">5. </w:t>
      </w:r>
      <w:r>
        <w:rPr>
          <w:rFonts w:ascii="Calibri" w:hAnsi="Calibri"/>
          <w:b w:val="0"/>
          <w:color w:val="3A4A28"/>
          <w:sz w:val="17"/>
        </w:rPr>
        <w:t>Stockanalysis.com, Financecharts — SPGI stock $417, P/E 28.36, forward P/E 22.13, dividend $3.88 / 0.91%,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