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SPG</w:t>
      </w:r>
      <w:r>
        <w:rPr>
          <w:rFonts w:ascii="Calibri" w:hAnsi="Calibri"/>
          <w:b/>
          <w:color w:val="1A2010"/>
          <w:sz w:val="40"/>
        </w:rPr>
        <w:t xml:space="preserve">  Simon Property Group, Inc.</w:t>
      </w:r>
    </w:p>
    <w:p>
      <w:pPr>
        <w:spacing w:after="120"/>
      </w:pPr>
      <w:r>
        <w:rPr>
          <w:rFonts w:ascii="Calibri" w:hAnsi="Calibri"/>
          <w:b/>
          <w:color w:val="6E8450"/>
          <w:sz w:val="18"/>
        </w:rPr>
        <w:t>DIVIDEND SLEEVE · 2026-04-24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Simon Property Group is a self-administered and self-managed REIT that owns, develops, and manages premier shopping, dining, entertainment, and mixed-use destinations, including malls, Premium Outlets, and The Mills. The company owns or has interests in 229 properties comprising 183 million square feet across North America, Asia, and Europe, plus an 88% interest in Taubman Realty Group and 22.4% ownership in Klépierre.</w:t>
      </w:r>
    </w:p>
    <w:p>
      <w:r>
        <w:rPr>
          <w:rFonts w:ascii="Calibri" w:hAnsi="Calibri"/>
          <w:b/>
          <w:color w:val="6E8450"/>
          <w:sz w:val="18"/>
        </w:rPr>
        <w:t>3,100 Employees · https://www.simon.com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Simon has incrementally evolved its properties toward mixed-use destinations incorporating dining, entertainment, and residential, but no transformative product launch or business model pivot in the past five years — the core mall and outlet REIT model remains largely unchanged [1]. AI Deployment (1/2): Simon has deployed digital analytics for tenant mix optimization and foot traffic analysis, but no AI-powered products shipping to consumers or specific quantified savings reported [2]. Market Share (2/2): Simon is the largest retail REIT in the U.S. with 183 million sq ft across 229 properties, including dominant positions in premium outlets and Class A malls — occupancy remains strong with at least 3% domestic NOI growth guided for 2026 [1]. Pipeline (0/2): No specific next-generation property concepts or technology platforms announced with timelines; development pipeline is standard redevelopment and mixed-use conversion [1]. R&amp;D Intensity (1/1): Significant capital investment in property redevelopment relative to REIT peers, with ongoing mixed-use conversion projects across the portfolio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Simon's stated purpose centers on creating premier shopping, dining, and entertainment destinations — clear and specific to their business but not aspirational beyond the obvious commercial real estate mandate [3]. Community Impact (1/2): Simon has general corporate philanthropy programs and community engagement through property development, but no distinctive large-scale foundation or quantified charitable impact stands out [3]. Employee Retention (1/2): Glassdoor rating of 3.2/5 with only 49% recommending to a friend is below average; culture and values rated 3.0/5 suggests adequate but uninspiring workplace environment [2]. Insider Buying (1/2): Multiple directors made open-market purchases in March 2026 at $183.80 per share (9 directors purchasing a combined ~$413K), and Randall Lewis made repeated purchases through 2025, signaling board conviction, though individual amounts are modest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Simon's financial profile is strong for a REIT despite the high leverage typical of the sector. Revenue of $6.36B (up 6.7% YoY) with profit margin of 72.7% reflects REIT accounting with property gains, and ROE of 104.1% demonstrates efficient capital deployment [5]. Forward P/E of 29.5x is reasonable for a premium REIT with guided 2026 FFO of $13.00-$13.25, implying ~3.6% FFO growth [1]. D/E of 435.5% scores 0 mechanically but is structural for REITs carrying $29.2B debt against $823M cash. Dividend yield of 4.25% with 30+ consecutive years paid and 7.3% 5-year dividend growth CAGR reflects strong income quality, though payout ratio of 60.3% and only 4 consecutive years of growth post-COVID-cut are moderate [5]. Liquidity floor easily cleared: 1.65M avg vol × $203.66 = $337M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Simon Property Group has operated with remarkable consistency under the Simon family's leadership for decades, maintaining focus on premium retail real estate through multiple economic cycles. The recent leadership transition following David Simon's passing in March 2026, with son Eli Simon elevated to CEO, tests whether the family stewardship and long-term orientation will endure into the next generation.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Simon's enduring purpose — creating premier destinations where communities gather to shop, dine, and be entertained — has been consistently pursued for over 30 years through multiple retail disruption cycles [1]. The family stewardship model (Herbert Simon founded, David Simon led for decades, now Eli Simon) provides generational continuity of purpose. However, the cause is ultimately commercial rather than transformative — 'premier shopping destinations' is distinctive but not idealistic in the Sinek sense. Just Cause: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3.2/5 rating and 49% recommendation rate suggest an adequate but not exceptional workplace culture [2]. The company has stable leadership with long-tenured executives, and the Board's smooth transition plan following David Simon's passing (appointing Eli Simon as CEO and Glasscock as Chairman) demonstrates organizational depth [2]. However, the below-average employee satisfaction scores prevent a higher rating. Trusting Teams: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Simon has acknowledged Brookfield, Macerich, and Taubman as competitors whose strengths in specific markets and property types have pushed Simon to improve its own mixed-use development and premium outlet strategies [1]. The Taubman acquisition itself (88% interest) reflects a willingness to learn from and absorb a worthy rival's capabilities rather than simply compete to destroy. Worthy Rivals: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Simon has evolved from a pure mall operator to a mixed-use destination developer, incorporating residential, office, dining, and entertainment uses into retail properties. The Premium Outlets concept and international expansion (Klépierre stake) represent meaningful strategic evolution [1]. However, the core business model — owning and leasing retail real estate — has not fundamentally transformed. The adaptation has been incremental rather than transformative. Existential Flexibility: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Simon demonstrated courage by investing through the retail apocalypse narrative of 2017-2020 when many analysts wrote off malls, acquiring Taubman at a discount during COVID-19 despite short-term uncertainty [1]. The company maintained dividend payments (albeit with a cut) through the pandemic and quickly restored growth. However, the leadership succession to Eli Simon, while planned, has yet to be tested through adversity under his direction. Courage to Lead: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Simon Property Group is the dominant U.S. retail REIT with 229 properties across 183 million sq ft, generating $6.36B in 2025 revenue (up 6.7% YoY) with guided 2026 FFO of $13.00-$13.25 per share (3.6% growth) [1]. The 4.25% dividend yield with 30+ consecutive years of payments and 7.3% five-year dividend growth CAGR makes SPG a compelling income holding, trading at 15.4x trailing FFO. Class A mall occupancy above 95% and at least 3% domestic NOI growth guidance demonstrate the resilience of premium physical retail in an e-commerce world. The Taubman acquisition (88% stake) and 22.4% Klépierre ownership provide geographic diversification and additional growth optionality [1].</w:t>
      </w:r>
    </w:p>
    <w:p>
      <w:pPr>
        <w:spacing w:after="120"/>
      </w:pPr>
      <w:r>
        <w:rPr>
          <w:rFonts w:ascii="Calibri" w:hAnsi="Calibri"/>
          <w:b w:val="0"/>
          <w:color w:val="3A4A28"/>
          <w:sz w:val="20"/>
        </w:rPr>
        <w:t>The bear case centers on structural retail headwinds and balance sheet leverage. D/E of 435% with $29.2B in total debt against only $823M cash creates significant interest rate sensitivity — the company guided $0.25-$0.30 higher net interest expense per share in 2026 [1]. The COVID-era dividend cut (from $8.30 in 2019 to $6.00 in 2020) demonstrated that even premium REITs face income risk during severe disruptions. Forward P/E of 29.5x on GAAP earnings is expensive, though FFO-based valuation is more reasonable. The leadership transition to Eli Simon following David Simon's death in March 2026 introduces succession uncertainty at a critical time. Secular shift to e-commerce continues to pressure tenant health, and the PEG ratio of 4.58 suggests limited growth relative to valuation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Guided 2026 FFO of $13.00-$13.25 per share with at least 3% domestic property NOI growth, supported by strong occupancy and tenant demand [1]</w:t>
      </w:r>
    </w:p>
    <w:p>
      <w:pPr>
        <w:spacing w:before="40" w:after="40"/>
        <w:ind w:left="283"/>
      </w:pPr>
      <w:r>
        <w:rPr>
          <w:rFonts w:ascii="Calibri" w:hAnsi="Calibri"/>
          <w:b/>
          <w:color w:val="4A6B25"/>
          <w:sz w:val="20"/>
        </w:rPr>
        <w:t xml:space="preserve">2. </w:t>
      </w:r>
      <w:r>
        <w:rPr>
          <w:rFonts w:ascii="Calibri" w:hAnsi="Calibri"/>
          <w:b w:val="0"/>
          <w:color w:val="3A4A28"/>
          <w:sz w:val="20"/>
        </w:rPr>
        <w:t>Continued mixed-use redevelopment converting underperforming retail space into residential, entertainment, and dining destinations to drive NOI growth [1]</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7.3% five-year CAGR with recent quarterly increase to $2.20, providing compounding income for long-term holders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with $29.2B debt load and guided $0.25-$0.30 per share higher net interest expense in 2026 compressing FFO growth [1]</w:t>
      </w:r>
    </w:p>
    <w:p>
      <w:pPr>
        <w:spacing w:before="40" w:after="40"/>
        <w:ind w:left="283"/>
      </w:pPr>
      <w:r>
        <w:rPr>
          <w:rFonts w:ascii="Calibri" w:hAnsi="Calibri"/>
          <w:b/>
          <w:color w:val="4A6B25"/>
          <w:sz w:val="20"/>
        </w:rPr>
        <w:t xml:space="preserve">2. </w:t>
      </w:r>
      <w:r>
        <w:rPr>
          <w:rFonts w:ascii="Calibri" w:hAnsi="Calibri"/>
          <w:b w:val="0"/>
          <w:color w:val="3A4A28"/>
          <w:sz w:val="20"/>
        </w:rPr>
        <w:t>CEO succession risk — Eli Simon's elevation following David Simon's March 2026 death is untested through a full economic cycle or crisis [2]</w:t>
      </w:r>
    </w:p>
    <w:p>
      <w:pPr>
        <w:spacing w:before="40" w:after="40"/>
        <w:ind w:left="283"/>
      </w:pPr>
      <w:r>
        <w:rPr>
          <w:rFonts w:ascii="Calibri" w:hAnsi="Calibri"/>
          <w:b/>
          <w:color w:val="4A6B25"/>
          <w:sz w:val="20"/>
        </w:rPr>
        <w:t xml:space="preserve">3. </w:t>
      </w:r>
      <w:r>
        <w:rPr>
          <w:rFonts w:ascii="Calibri" w:hAnsi="Calibri"/>
          <w:b w:val="0"/>
          <w:color w:val="3A4A28"/>
          <w:sz w:val="20"/>
        </w:rPr>
        <w:t>Secular e-commerce penetration continues to erode physical retail tenant demand, with AI-enhanced shopping experiences potentially accelerating the shift away from in-person retail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Simon's core business — owning and operating physical retail real estate — is structurally immune to AI substitution. AI cannot replace the physical experience of shopping, dining, and entertainment at premium locations. While e-commerce (which AI enhances) remains a secular headwind, Simon's Class A malls and Premium Outlets have proven resilient with occupancy above 95% and 3%+ NOI growth [1]. The physical infrastructure moat — 229 properties comprising 183M sq ft in prime locations — cannot be digitally replicated. AI may modestly improve property management efficiency but does not threaten the landlord business model. AI Opportunity (0/1): Simon does not generate meaningful revenue from AI products or services; AI is used internally for analytics but not as a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Simon Property Group Q4 2025 Earnings Release and 2026 FFO Guidance — $6.36B revenue, 6.7% growth, FFO $13.00-$13.25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Simon Property Group Executive Appointments and Leadership Transition — Eli Simon COO/CEO, David Simon passing, Glassdoor Reviews, March 2026</w:t>
      </w:r>
    </w:p>
    <w:p>
      <w:pPr>
        <w:spacing w:before="20" w:after="20"/>
        <w:ind w:left="170"/>
      </w:pPr>
      <w:r>
        <w:rPr>
          <w:rFonts w:ascii="Calibri" w:hAnsi="Calibri"/>
          <w:b/>
          <w:color w:val="4A6B25"/>
          <w:sz w:val="15"/>
        </w:rPr>
        <w:t xml:space="preserve">3. </w:t>
      </w:r>
      <w:r>
        <w:rPr>
          <w:rFonts w:ascii="Calibri" w:hAnsi="Calibri"/>
          <w:b w:val="0"/>
          <w:color w:val="3A4A28"/>
          <w:sz w:val="17"/>
        </w:rPr>
        <w:t>Simon Property Group Sustainability Reports and ESG Ratings — SBTi targets, community programs, Sustainalytics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SPG insider transactions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SPG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