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SPHL</w:t>
      </w:r>
      <w:r>
        <w:rPr>
          <w:rFonts w:ascii="Calibri" w:hAnsi="Calibri"/>
          <w:b/>
          <w:color w:val="1A2010"/>
          <w:sz w:val="40"/>
        </w:rPr>
        <w:t xml:space="preserve">  Springview Holdings Ltd</w:t>
      </w:r>
    </w:p>
    <w:p>
      <w:pPr>
        <w:spacing w:after="120"/>
      </w:pPr>
      <w:r>
        <w:rPr>
          <w:rFonts w:ascii="Calibri" w:hAnsi="Calibri"/>
          <w:b/>
          <w:color w:val="6E8450"/>
          <w:sz w:val="18"/>
        </w:rPr>
        <w:t>GROWTH SLEEVE · 2026-04-17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Residential Construction · NASDAQ · Singapore</w:t>
      </w:r>
    </w:p>
    <w:p>
      <w:pPr>
        <w:spacing w:after="80"/>
      </w:pPr>
      <w:r>
        <w:rPr>
          <w:rFonts w:ascii="Calibri" w:hAnsi="Calibri"/>
          <w:b w:val="0"/>
          <w:color w:val="3A4A28"/>
          <w:sz w:val="20"/>
        </w:rPr>
        <w:t>Springview Holdings designs and constructs residential and commercial buildings in Singapore, undertaking new construction, reconstruction, additions and alterations works. The company also provides renovation and design consultation, space planning, bespoke carpentry, and project management services. Listed on Nasdaq in October 2024.</w:t>
      </w:r>
    </w:p>
    <w:p>
      <w:r>
        <w:rPr>
          <w:rFonts w:ascii="Calibri" w:hAnsi="Calibri"/>
          <w:b/>
          <w:color w:val="6E8450"/>
          <w:sz w:val="18"/>
        </w:rPr>
        <w:t>71 Employees · https://www.springviewggl.com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Springview completed a Nasdaq listing in October 2024 and secured a heritage redevelopment contract and bizSAFE Level 4 Certification, but these are operational milestones rather than product innovation or business model transformation [1]. AI Deployment (0/2): No evidence of AI deployment in construction operations, project management, or customer-facing products [2]. Market Share (0/2): Springview is a micro-scale construction firm ($6M revenue) in Singapore with no meaningful market share in a highly fragmented residential construction industry [1]. Pipeline (1/2): The January 2026 strategic partnership with Jiangsu GSO New Energy Technology for solar and green-energy solutions in residential housing represents a visible pipeline initiative with specific strategic direction [3]. R&amp;D Intensity (1/1): While Springview does not conduct traditional R&amp;D, the company's entry into solar-integrated housing and building materials distribution demonstrates above-average innovation investment for a small Singaporean contractor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Springview's purpose appears to be building and renovating structures in Singapore — a generic construction company mission with no articulated vision beyond project delivery. The website does not present a distinctive or aspirational mission statement [2]. Community Impact (1/2): The solar energy partnership with Jiangsu GSO aims to bring green-energy solutions to Singaporean homes, aligning with Singapore's sustainability goals, though the partnership is an MOU with no quantified impact or specific carbon reduction targets [3]. Employee Retention (0/2): With only 71 employees and no Glassdoor or public employee data, retention cannot be assessed. The company faces two civil lawsuits related to workplace injuries, which raises social concerns [3]. Insider Buying (0/2): No insider transaction data available for this recently listed micro-cap company; Chairman/CEO Zhuo Wang's ownership came through the listing structure, not open-market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179,551 shares × $2.60 stock price = $466,833, which falls below the $1,000,000 minimum liquidity threshold. Infrastructure score is automatically set to 0 regardless of other metrics [4]. Underlying financials are also weak: ROE is deeply negative at -46.4%, profit margin is -23.6%, and revenue declined 24.7% YoY to just $5.9M TTM [4]. D/E of 17.3% is low, and Forward P/E is unavailable (unprofitable). The $5.9M market cap classifies this as a nano-cap stock with severe liquidity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Springview Holdings exhibits finite game characteristics across nearly every dimension. A 71-person construction company with $5.9M in revenue, two workplace injury lawsuits, and a 25% revenue decline is focused on survival rather than playing to keep playing. The solar energy partnership is a positive signal but too early and too small to shift the assessment. Sinek would view this as a company without a discernible Just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evident (0/3 points). Springview exists to build and renovate buildings in Singapore — a transactional purpose with no articulated vision of a better future. The company's strategic moves (Nasdaq listing, solar partnership, building materials distribution) appear opportunistic rather than cause-driven [1]. There is no evidence of a mission that would inspire people to sacrifice for the company's long-term success.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(0/2 points). With only 71 employees, Springview faces two civil lawsuits for workplace injuries and charges under Singapore's Workplace Safety and Health Act and Building Control Act [3]. These legal proceedings indicate systemic safety issues that undermine employee trust and well-being. No positive cultural data is available to offset these concerns.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(0/1 point). Springview does not reference competitors or competitive dynamics in any publicly available materials. The company's strategic moves — listing on Nasdaq, partnering with Chinese solar firms, entering building materials distribution — appear reactive to market opportunities rather than informed by competitive self-awareness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points). Springview is attempting to evolve beyond pure construction: the solar energy partnership with Jiangsu GSO, the exclusive Singapore distribution agreement for building materials, and the heritage redevelopment work represent adjacent market entries [3]. While incremental rather than transformative, these moves show a willingness to diversify a concentrated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decisions (0/2 points). The Nasdaq listing appears financially motivated (access to capital markets) rather than strategically bold. Revenue declining 25% with no public commentary on restructuring or investment suggests management is reacting to market conditions rather than making proactive bets on the company's future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Springview Holdings offers speculative exposure to Singapore's residential construction market with a clean balance sheet (D/E 17.3%) and strategic optionality through the Jiangsu GSO solar partnership, which could position the company in Singapore's growing green building market [3]. The heritage redevelopment contracts and building materials distribution agreement provide revenue diversification beyond core construction. At a $5.9M market cap, any successful execution on these initiatives could drive outsized returns from a deeply depressed base [1].</w:t>
      </w:r>
    </w:p>
    <w:p>
      <w:pPr>
        <w:spacing w:after="120"/>
      </w:pPr>
      <w:r>
        <w:rPr>
          <w:rFonts w:ascii="Calibri" w:hAnsi="Calibri"/>
          <w:b w:val="0"/>
          <w:color w:val="3A4A28"/>
          <w:sz w:val="20"/>
        </w:rPr>
        <w:t>The bear case is overwhelming. Springview is a nano-cap ($5.9M market cap) with $5.9M TTM revenue, a -46.4% ROE, and a -23.6% profit margin — the company is losing money on minimal revenue [4]. The stock fails the IOWN liquidity floor with average daily trading value of just $467K, making it effectively untradeable for institutional or meaningful retail positions. Two workplace injury lawsuits and workplace safety violations indicate operational and governance failures in the core construction business [3]. Revenue declined 24.7% YoY with no visibility on a recovery path. The Singapore construction market is highly competitive and project-based, creating lumpy revenue with no recurring income. The solar partnership is an MOU with no binding commitments, no quantified targets, and no revenue contribution timeline. The 674% stock price spike on the solar announcement followed by immediate retracement demonstrates the speculative, momentum-driven nature of this security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Jiangsu GSO solar partnership converting from MOU to executed contracts, providing quantifiable revenue and positioning Springview in Singapore's green building transition [3]</w:t>
      </w:r>
    </w:p>
    <w:p>
      <w:pPr>
        <w:spacing w:before="40" w:after="40"/>
        <w:ind w:left="283"/>
      </w:pPr>
      <w:r>
        <w:rPr>
          <w:rFonts w:ascii="Calibri" w:hAnsi="Calibri"/>
          <w:b/>
          <w:color w:val="4A6B25"/>
          <w:sz w:val="20"/>
        </w:rPr>
        <w:t xml:space="preserve">2. </w:t>
      </w:r>
      <w:r>
        <w:rPr>
          <w:rFonts w:ascii="Calibri" w:hAnsi="Calibri"/>
          <w:b w:val="0"/>
          <w:color w:val="3A4A28"/>
          <w:sz w:val="20"/>
        </w:rPr>
        <w:t>Heritage redevelopment and building materials distribution contracts contributing to revenue diversification and growth re-acceleration [1]</w:t>
      </w:r>
    </w:p>
    <w:p>
      <w:pPr>
        <w:spacing w:before="40" w:after="40"/>
        <w:ind w:left="283"/>
      </w:pPr>
      <w:r>
        <w:rPr>
          <w:rFonts w:ascii="Calibri" w:hAnsi="Calibri"/>
          <w:b/>
          <w:color w:val="4A6B25"/>
          <w:sz w:val="20"/>
        </w:rPr>
        <w:t xml:space="preserve">3. </w:t>
      </w:r>
      <w:r>
        <w:rPr>
          <w:rFonts w:ascii="Calibri" w:hAnsi="Calibri"/>
          <w:b w:val="0"/>
          <w:color w:val="3A4A28"/>
          <w:sz w:val="20"/>
        </w:rPr>
        <w:t>Singapore government infrastructure spending and housing development demand supporting the residential construction pipeline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crisis — $467K average daily trading value makes the stock effectively untradeable and creates severe price risk on any meaningful buying or selling pressure [4]</w:t>
      </w:r>
    </w:p>
    <w:p>
      <w:pPr>
        <w:spacing w:before="40" w:after="40"/>
        <w:ind w:left="283"/>
      </w:pPr>
      <w:r>
        <w:rPr>
          <w:rFonts w:ascii="Calibri" w:hAnsi="Calibri"/>
          <w:b/>
          <w:color w:val="4A6B25"/>
          <w:sz w:val="20"/>
        </w:rPr>
        <w:t xml:space="preserve">2. </w:t>
      </w:r>
      <w:r>
        <w:rPr>
          <w:rFonts w:ascii="Calibri" w:hAnsi="Calibri"/>
          <w:b w:val="0"/>
          <w:color w:val="3A4A28"/>
          <w:sz w:val="20"/>
        </w:rPr>
        <w:t>Workplace safety lawsuits and regulatory violations — ongoing civil litigation and charges under Singapore's Workplace Safety and Health Act could result in fines, contract losses, and reputational damage [3]</w:t>
      </w:r>
    </w:p>
    <w:p>
      <w:pPr>
        <w:spacing w:before="40" w:after="40"/>
        <w:ind w:left="283"/>
      </w:pPr>
      <w:r>
        <w:rPr>
          <w:rFonts w:ascii="Calibri" w:hAnsi="Calibri"/>
          <w:b/>
          <w:color w:val="4A6B25"/>
          <w:sz w:val="20"/>
        </w:rPr>
        <w:t xml:space="preserve">3. </w:t>
      </w:r>
      <w:r>
        <w:rPr>
          <w:rFonts w:ascii="Calibri" w:hAnsi="Calibri"/>
          <w:b w:val="0"/>
          <w:color w:val="3A4A28"/>
          <w:sz w:val="20"/>
        </w:rPr>
        <w:t>Nano-cap survival risk — with only $5.9M in revenue, -24% profit margins, and 71 employees, any contract loss or project delay could threaten the company's ability to continue operations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Residential and commercial construction is a physical-world business that AI structurally cannot replace — building houses, pouring concrete, and managing construction sites requires human labor and physical presence [2]. AI may improve project management efficiency, cost estimation, and design workflows, but the core construction services Springview provides are protected from AI substitution. However, Springview's small scale means it cannot invest in AI tools that larger competitors may adopt for competitive advantage. AI Opportunity (0/1): Springview generates no AI-related revenue and has no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StockAnalysis.com — Springview Holdings company profile, $5.9M TTM revenue, $5.9M market cap,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Springview Holdings SEC filings and Yahoo Finance company profile, Chairman/CEO Zhuo Wang,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Springview Holdings strategic partnership announcements — Jiangsu GSO solar MOU, heritage redevelopment, workplace safety violations, January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SPHL (Springview Holdings),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