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SPWR</w:t>
      </w:r>
      <w:r>
        <w:rPr>
          <w:rFonts w:ascii="Calibri" w:hAnsi="Calibri"/>
          <w:b/>
          <w:color w:val="1A2010"/>
          <w:sz w:val="40"/>
        </w:rPr>
        <w:t xml:space="preserve">  SunPower Inc.</w:t>
      </w:r>
    </w:p>
    <w:p>
      <w:pPr>
        <w:spacing w:after="120"/>
      </w:pPr>
      <w:r>
        <w:rPr>
          <w:rFonts w:ascii="Calibri" w:hAnsi="Calibri"/>
          <w:b/>
          <w:color w:val="6E8450"/>
          <w:sz w:val="18"/>
        </w:rPr>
        <w:t>GROWTH SLEEVE · 2026-04-24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SunPower Inc. (formerly Complete Solaria) is a residential solar installer operating across 46 states through direct installation, new homes, and dealer channels. The company acquired SunPower Corporation's key assets out of bankruptcy in September 2024, rebranded as SunPower Inc. in October 2025, and targets $400M+ revenue in 2026 with a long-term vision of $1 billion in annual revenue.</w:t>
      </w:r>
    </w:p>
    <w:p>
      <w:r>
        <w:rPr>
          <w:rFonts w:ascii="Calibri" w:hAnsi="Calibri"/>
          <w:b/>
          <w:color w:val="6E8450"/>
          <w:sz w:val="18"/>
        </w:rPr>
        <w:t>785 Employees · https://us.sunpower.com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T.J. Rodgers executed a bold turnaround — acquiring SunPower assets out of bankruptcy, reducing headcount from 2,901 to 900, expanding from 22 to 46 states through three acquisitions (Blue Raven Solar, Sunder Energy), and achieving profitability within two quarters [1][2]. AI Deployment (0/2): No evidence of AI-powered products or quantified AI-driven operational improvements in solar design, sales, or installation processes [2]. Market Share (1/2): SunPower is a meaningful residential solar player with $300M annual revenue, but competes behind Sunrun, Tesla Solar, and other larger installers in a fragmented market [1]. Pipeline (1/2): Management targets $400M+ revenue in 2026 and has articulated a $1 billion revenue vision, with continued acquisition activity expected [1]. R&amp;D Intensity (0/1): SunPower is an installer/integrator, not a technology developer — no meaningful R&amp;D investment in panel or inverter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SunPower's mission is centered on making solar energy accessible to homeowners across the U.S. — clear and purposeful but not distinctive among residential solar companies [3]. The vision of 'powering a brighter future' is industry-standard language. Community Impact (1/2): Solar installation directly reduces household carbon emissions and electricity costs, providing tangible community benefit. Expansion to 46 states broadens access to underserved markets [1]. Employee Retention (0/2): Management team has only 1.2 years average tenure, reflecting the post-acquisition restructuring [2]. Headcount reduction from 2,901 to 900 employees signals significant organizational disruption. Insider Buying (1/2): CEO T.J. Rodgers has substantial personal conviction — he founded Cypress Semiconductor and served 34 years as CEO, bringing proven entrepreneurial commitment to the SunPower turnaround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SPWR's financial profile is improving from a distressed base. The forward P/E of 2.0 is extremely low, pricing in high execution risk and reflecting the $0.98 share price of this micro-cap ($124M market cap) [3]. Profit margin is -15.1% trailing, though the company achieved its first profitable quarter in Q1 2025 and reported $1.3M profit recently [1]. Revenue declined 10.1% in the most recent quarter, though annual revenue grew 176% to $300M driven by acquisitions [1]. D/E and ROE are unavailable due to the restructured balance sheet (negative book value, price-to-book of -1.21) [3]. Total debt of $188M against only $9.6M cash is concerning for a company generating negative margins. Liquidity floor passes at $1.55M daily (1.58M avg vol x $0.98) but is marginal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SunPower Inc. under T.J. Rodgers is a turnaround story with both infinite and finite game elements. The vision of making solar accessible nationwide and the commitment to reaching $1 billion in revenue suggest long-term thinking. However, the aggressive cost-cutting (66% headcount reduction), acquisition-driven growth strategy, and penny-stock risk profile reveal a company fighting for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 energy access — reducing household electricity costs and carbon emissions — is a genuine cause that transcends quarterly results [3]. The mission is validated by the industry's growth trajectory and societal need for clean energy transition. However, SunPower is an installer, not a technology pioneer, which limits how deeply the cause differentiates from dozens of other solar companies making similar claims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66% headcount reduction from 2,901 to 900 employees within two quarters of the acquisition signals a low-trust environment [2]. Management tenure averages only 1.2 years, reflecting the post-bankruptcy reconstitution. While the lean team may be motivated by the turnaround opportunity, the scale of workforce disruption undermines psychological safety. Employees joining a company that just emerged from its predecessor's bankruptcy face inherent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SunPower acknowledges the competitive landscape including Tesla Solar, Sunrun, and regional installers, positioning itself as a quality-focused alternative rather than attempting to 'destroy' competitors [1]. The dealer network model — partnering with independent installers — reflects a collaborative rather than zero-sum approach to market growth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entire SunPower Inc. entity is itself an existential pivot — Complete Solaria transformed from a small solar company into a national platform by acquiring SunPower's assets out of bankruptcy [1]. The expansion from 22 to 46 states through three acquisitions shows willingness to reinvent the company's scale. However, this flexibility was driven by opportunity rather than a deeply held cause, and the company has not yet proven it can sustain this transformation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 Rodgers demonstrated courage by acquiring distressed SunPower assets while the residential solar industry was under severe pressure from high interest rates and NEM 3.0 in California [1]. The aggressive cost restructuring and commitment to profitability over revenue growth shows willingness to make painful decisions. However, the $0.98 share price and micro-cap status mean the risk is largely borne by shareholders rather than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SunPower Inc. represents a high-risk turnaround in residential solar, led by veteran CEO T.J. Rodgers who acquired SunPower's assets out of bankruptcy and achieved profitability within two quarters [1][2]. The company reported $300M in 2025 revenue (up 176% from 2024) and targets $400M+ in 2026, with a long-term vision of $1 billion [1]. At $0.98 per share and a $124M market cap, the forward P/E of 2.0 reflects extreme risk discount. The expansion from 22 to 46 states through acquisitions creates a national platform for residential solar installation, and the industry benefits from the Inflation Reduction Act's 30% Investment Tax Credit providing structural demand support [1]. Solar installation is AI-immune and serves the growing need for distributed generation as data center power demand surges.</w:t>
      </w:r>
    </w:p>
    <w:p>
      <w:pPr>
        <w:spacing w:after="120"/>
      </w:pPr>
      <w:r>
        <w:rPr>
          <w:rFonts w:ascii="Calibri" w:hAnsi="Calibri"/>
          <w:b w:val="0"/>
          <w:color w:val="3A4A28"/>
          <w:sz w:val="20"/>
        </w:rPr>
        <w:t>The bear case is dominated by execution and solvency risk. SunPower Inc. is a sub-$1 penny stock with a $124M market cap, negative book value (price-to-book of -1.21), and $188M in total debt against only $9.6M cash [3]. Profit margin is -15.1% trailing, and while the company recently turned profitable, one quarter of marginal profit does not establish sustainability. The predecessor SunPower Corporation went bankrupt in August 2024 under the weight of $2 billion in debt, high interest rates, and California's NEM 3.0 policy change — risks that still threaten the residential solar industry [4]. Management tenure of 1.2 years and a 66% headcount reduction signal organizational fragility [2]. The acquisition-driven growth strategy requires capital the company may struggle to raise at sub-$1 share prices. Potential loss of the 30% Solar ITC under changing political leadership is an existential risk CEO Rodgers has explicitly flagged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toward $400M+ target in 2026 driven by national expansion to 46 states and continued acquisition integration [1]</w:t>
      </w:r>
    </w:p>
    <w:p>
      <w:pPr>
        <w:spacing w:before="40" w:after="40"/>
        <w:ind w:left="283"/>
      </w:pPr>
      <w:r>
        <w:rPr>
          <w:rFonts w:ascii="Calibri" w:hAnsi="Calibri"/>
          <w:b/>
          <w:color w:val="4A6B25"/>
          <w:sz w:val="20"/>
        </w:rPr>
        <w:t xml:space="preserve">2. </w:t>
      </w:r>
      <w:r>
        <w:rPr>
          <w:rFonts w:ascii="Calibri" w:hAnsi="Calibri"/>
          <w:b w:val="0"/>
          <w:color w:val="3A4A28"/>
          <w:sz w:val="20"/>
        </w:rPr>
        <w:t>Sustained quarterly profitability proving the lean operating model works at scale, potentially re-rating the stock from distressed levels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electricity demand growth, increasing homeowner interest in solar as utility rates rise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Penny stock with $124M market cap and negative book value — potential Nasdaq delisting risk if share price remains below $1 for extended period [3]</w:t>
      </w:r>
    </w:p>
    <w:p>
      <w:pPr>
        <w:spacing w:before="40" w:after="40"/>
        <w:ind w:left="283"/>
      </w:pPr>
      <w:r>
        <w:rPr>
          <w:rFonts w:ascii="Calibri" w:hAnsi="Calibri"/>
          <w:b/>
          <w:color w:val="4A6B25"/>
          <w:sz w:val="20"/>
        </w:rPr>
        <w:t xml:space="preserve">2. </w:t>
      </w:r>
      <w:r>
        <w:rPr>
          <w:rFonts w:ascii="Calibri" w:hAnsi="Calibri"/>
          <w:b w:val="0"/>
          <w:color w:val="3A4A28"/>
          <w:sz w:val="20"/>
        </w:rPr>
        <w:t>Loss or reduction of the 30% Solar Investment Tax Credit under shifting federal energy policy would severely impact residential solar economics [4]</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across three deals in 18 months with an inexperienced management team (1.2 years average tenure)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Residential solar installation is fundamentally physical work — roof assessments, panel mounting, electrical wiring, permitting, and inspections cannot be performed by AI [2]. The business requires local crews, building code compliance, and utility interconnection coordination that are immune to AI substitution. If anything, AI increases electricity demand from data centers, which strengthens the case for distributed solar generation. AI may improve design software and sales processes, but these are enablers rather than threats to the installation business model. AI Opportunity (0/1): SunPower does not generate any AI-related revenue. The company could benefit from AI in system design optimization and customer acquisition, but has not deployed or monetized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SunPower Inc. 2025 10-K Filing — $300M annual revenue, Q1 2025 first profitable quarter, $400M+ 2026 target</w:t>
      </w:r>
    </w:p>
    <w:p>
      <w:pPr>
        <w:spacing w:before="20" w:after="20"/>
        <w:ind w:left="170"/>
      </w:pPr>
      <w:r>
        <w:rPr>
          <w:rFonts w:ascii="Calibri" w:hAnsi="Calibri"/>
          <w:b/>
          <w:color w:val="4A6B25"/>
          <w:sz w:val="15"/>
        </w:rPr>
        <w:t xml:space="preserve">2. </w:t>
      </w:r>
      <w:r>
        <w:rPr>
          <w:rFonts w:ascii="Calibri" w:hAnsi="Calibri"/>
          <w:b w:val="0"/>
          <w:color w:val="3A4A28"/>
          <w:sz w:val="17"/>
        </w:rPr>
        <w:t>SunPower Leadership and Corporate Governance — CEO T.J. Rodgers (appointed April 2024), headcount reduction from 2,901 to 900</w:t>
      </w:r>
    </w:p>
    <w:p>
      <w:pPr>
        <w:spacing w:before="20" w:after="20"/>
        <w:ind w:left="170"/>
      </w:pPr>
      <w:r>
        <w:rPr>
          <w:rFonts w:ascii="Calibri" w:hAnsi="Calibri"/>
          <w:b/>
          <w:color w:val="4A6B25"/>
          <w:sz w:val="15"/>
        </w:rPr>
        <w:t xml:space="preserve">3. </w:t>
      </w:r>
      <w:r>
        <w:rPr>
          <w:rFonts w:ascii="Calibri" w:hAnsi="Calibri"/>
          <w:b w:val="0"/>
          <w:color w:val="3A4A28"/>
          <w:sz w:val="17"/>
        </w:rPr>
        <w:t>Yahoo Finance — SPWR key statistics and financial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SunPower Bankruptcy and Restructuring Coverage — ESG Dive, EnergySage, Pari Passu, August-September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