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SQM</w:t>
      </w:r>
      <w:r>
        <w:rPr>
          <w:rFonts w:ascii="Calibri" w:hAnsi="Calibri"/>
          <w:b/>
          <w:color w:val="1A2010"/>
          <w:sz w:val="40"/>
        </w:rPr>
        <w:t xml:space="preserve">  Sociedad Quimica y Minera de Chile S.A.</w:t>
      </w:r>
    </w:p>
    <w:p>
      <w:pPr>
        <w:spacing w:after="120"/>
      </w:pPr>
      <w:r>
        <w:rPr>
          <w:rFonts w:ascii="Calibri" w:hAnsi="Calibri"/>
          <w:b/>
          <w:color w:val="6E8450"/>
          <w:sz w:val="18"/>
        </w:rPr>
        <w:t>GROWTH SLEEVE · 2026-04-28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Chile</w:t>
      </w:r>
    </w:p>
    <w:p>
      <w:pPr>
        <w:spacing w:after="80"/>
      </w:pPr>
      <w:r>
        <w:rPr>
          <w:rFonts w:ascii="Calibri" w:hAnsi="Calibri"/>
          <w:b w:val="0"/>
          <w:color w:val="3A4A28"/>
          <w:sz w:val="20"/>
        </w:rPr>
        <w:t>Sociedad Quimica y Minera de Chile (SQM) is a Chilean specialty chemicals company and one of the world's largest lithium producers. The company operates across five business lines: lithium and derivatives, specialty plant nutrients, iodine and derivatives, potassium, and industrial chemicals. SQM extracts lithium from brine in Chile's Salar de Atacama and recently formed a joint venture with state miner Codelco.</w:t>
      </w:r>
    </w:p>
    <w:p>
      <w:r>
        <w:rPr>
          <w:rFonts w:ascii="Calibri" w:hAnsi="Calibri"/>
          <w:b/>
          <w:color w:val="6E8450"/>
          <w:sz w:val="18"/>
        </w:rPr>
        <w:t>7,739 Employees · https://www.sqm.com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SQM has been a steady operator in specialty chemicals and lithium extraction for decades but has not launched transformative products or executed significant business model pivots in the last five years. Revenue collapsed from $10.7B in 2022 to $4.5B in 2024 due to lithium price declines, and FY2025 revenue of $4.58B was essentially flat YoY [1]. The Codelco joint venture represents an important structural change but is partnership-driven rather than innovation-driven. AI Deployment (0/2): No evidence of AI-powered products or quantified AI-driven internal efficiencies was found. SQM is a mining and chemical extraction company where operations are primarily physical and process-driven [2]. Market Share (2/2): SQM is one of the world's largest lithium producers with operations in the highest-quality lithium brine resource globally (Salar de Atacama), giving it cost advantages that competitors with hard-rock mining cannot match [1]. The company holds leading positions in iodine (global top 2) and specialty plant nutrients. Product Pipeline (1/2): The SQM-Codelco partnership aims to expand lithium production capacity and extend SQM's operating rights in the Atacama past their current expiration, with production already surpassing initial targets, though specific volume ramp timelines are general [1]. R&amp;D Intensity (1/1): SQM invests in process optimization and new extraction technologies, and the company emphasizes innovation and technological development as part of its corporate values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SQM's corporate values center on Excellence, Safety, Integrity, and Sustainability, and the company frames its purpose around providing essential materials that enable global food production (plant nutrients) and clean energy transition (lithium). This is clear and identifies meaningful societal benefit, but it's a standard articulation for a mining and chemical company [2]. Community Impact (1/2): SQM pays $10-15M annually to neighboring indigenous communities in the Atacama and has ISO 14001 certification for ~80% of operations [3]. However, the company has faced significant criticism for inadequate indigenous consultation processes (FPIC) and water resource impacts, tempering the community impact assessment [3]. Employee Retention (1/2): CEO Ricardo Ramos has served since January 2019, and the management team has an average tenure of 7.3 years, suggesting reasonable organizational stability [2]. The company has grown from 6,081 employees in 2021 to 7,739, reflecting operational expansion. Insider Buying (1/2): Insider transaction data for this Chilean ADR shows no standout net buying or selling patterns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SQM's Infrastructure scores very well on growth-weighted metrics, reflecting a strong balance sheet and attractive valuation despite the post-2022 revenue normalization. D/E of 59.2% is well below the 70% target, scoring a perfect 1.0 — the company maintains conservative leverage for a mining operation [4]. ROE of 9.7% is below the 15% target but above the 0% floor, scoring 0.64 at 2x weight. Revenue growth YoY of 1.0% is modest, scoring 0.70, as the company stabilized after the lithium price crash [1]. However, the 5-year revenue CAGR of ~20% scores 1.0 at 2x weight, reflecting the massive lithium-driven revenue expansion from $1.8B in 2020 to $4.6B in 2025 [4]. Forward P/E of 16.3x is attractive, well below the 20x target (score 1.0), while profit margin of 12.9% scores 0.64 [4]. Forward PEG of 0.57 is outstanding at 2x weight [4]. Liquidity floor easily cleared: 1.40M avg volume x $91.29 = $128M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SQM demonstrates mixed infinite game characteristics. The company has operated for over 50 years and holds a multi-generational view of its mineral resources, reflecting endurance thinking. The Codelco partnership extending operations beyond current concession expirations shows long-term planning. However, SQM's history includes political controversies from the Pinochet era, and its relationship with indigenous communities and the Chilean state reveals tension between profit extraction and genuine stakeholder partnership.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SQM's purpose — providing essential materials for global food production and clean energy transition — connects mining to meaningful societal outcomes. The lithium business directly enables the EV and renewable energy revolution, and specialty plant nutrients support global agriculture [2]. However, this cause is intertwined with resource extraction that has significant environmental impacts in the Atacama Desert, and the company's history of political controversies (donations to Chilean politicians that led to legal sanctions) undermines the authenticity of the purpose narrative [3]. The cause is partially lived but not the competitive advantage — SQM's advantage is geological, not purpose-driven. Score: 1 weighted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SQM shows adequate organizational stability with CEO Ramos serving since 2019 and a management team averaging 7.3 years tenure [2]. The company grew from 6,081 to 7,739 employees over three years, suggesting organizational expansion without major disruption. However, the company's checkered political history and the significant ESG criticisms around indigenous community relations suggest that trust may be stronger internally than externally [3]. No exceptional trust metrics (turnover, cultural awards) were found.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SQM operates alongside major lithium competitors including Albemarle, Ganfeng Lithium, and Pilbara Minerals without framing competition in destructive terms. The company's partnership with state miner Codelco — essentially a rival for control of Chilean lithium resources — demonstrates willingness to collaborate with worthy rivals rather than fight them [1]. Management focuses on operational excellence and cost leadership rather than competitor destruction.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SQM has evolved meaningfully over its 50+ year history, originally focused on nitrate mining and fertilizers before pivoting aggressively into lithium production as EV demand emerged. The transformation from a primarily agricultural chemicals company to one of the world's leading lithium producers represents significant strategic flexibility [1]. The Codelco partnership is another structural adaptation. However, these pivots were driven by market opportunity rather than a transcendent Just Cause.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SQM demonstrated courage in entering the Codelco joint venture, which effectively ceded partial control of its most valuable asset (Atacama lithium operations) to the Chilean state in exchange for long-term operating certainty beyond the 2030 concession expiration [1]. This was a pragmatic but forward-looking decision that sacrificed short-term autonomy for multi-decade operational continuity. The company also maintained capital investment during the 2023-2024 lithium price crash when revenue fell from $10.7B to $4.5B [4].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SQM offers compelling exposure to the secular lithium demand growth driven by EV adoption and energy storage, backed by the world's highest-quality lithium brine resource in Chile's Salar de Atacama. FY2025 revenue of $4.58B and net income of $588M represent a strong recovery from the 2024 loss year, and record lithium sales volumes from the new Codelco partnership demonstrate operational momentum [1]. At a forward P/E of 16.3x and PEG of 0.57, the stock is attractively valued for a company positioned at the center of the clean energy transition. Scotiabank recently raised its price target to $100 with an outperform rating, reflecting confidence in the lithium recovery cycle [1]. The conservative balance sheet (D/E 59.2%) provides financial flexibility, while diversified revenue streams across iodine, specialty fertilizers, and industrial chemicals reduce single-commodity risk [4].</w:t>
      </w:r>
    </w:p>
    <w:p>
      <w:pPr>
        <w:spacing w:after="120"/>
      </w:pPr>
      <w:r>
        <w:rPr>
          <w:rFonts w:ascii="Calibri" w:hAnsi="Calibri"/>
          <w:b w:val="0"/>
          <w:color w:val="3A4A28"/>
          <w:sz w:val="20"/>
        </w:rPr>
        <w:t>The bear case centers on lithium price cyclicality and geopolitical risk. Revenue collapsed from $10.7B in 2022 to $4.5B in 2024-2025 as lithium prices crashed from speculative highs, demonstrating extreme earnings volatility — EPS went from $13.68 in 2022 to -$1.42 in 2024 before recovering to $2.06 in 2025 [4]. The trailing P/E of 44.3x reflects this earnings trough, but also suggests the market is pricing in significant recovery that may not materialize if lithium oversupply persists from Australian hard-rock mines, African projects, and Chinese DLE technology. The Codelco partnership, while extending operating rights, effectively nationalizes partial control of SQM's core asset and introduces political risk from Chilean state involvement [1]. ESG controversies around water usage impacts on the Atacama ecosystem and inadequate indigenous community consultation (FPIC) create reputational and regulatory risk, particularly as global mining ESG scrutiny intensifies [3]. ROE of 9.7% is below the 15% target, reflecting the compressed lithium pricing environment, and profit margin of 12.9% is well below the 2022 peak when margins exceeded 35%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lithium sales volumes from the SQM-Codelco joint venture surpassing initial production targets, positioning for earnings recovery as lithium demand grows with EV adoption acceleration [1]</w:t>
      </w:r>
    </w:p>
    <w:p>
      <w:pPr>
        <w:spacing w:before="40" w:after="40"/>
        <w:ind w:left="283"/>
      </w:pPr>
      <w:r>
        <w:rPr>
          <w:rFonts w:ascii="Calibri" w:hAnsi="Calibri"/>
          <w:b/>
          <w:color w:val="4A6B25"/>
          <w:sz w:val="20"/>
        </w:rPr>
        <w:t xml:space="preserve">2. </w:t>
      </w:r>
      <w:r>
        <w:rPr>
          <w:rFonts w:ascii="Calibri" w:hAnsi="Calibri"/>
          <w:b w:val="0"/>
          <w:color w:val="3A4A28"/>
          <w:sz w:val="20"/>
        </w:rPr>
        <w:t>Analyst upgrades including Scotiabank's $100 price target (outperform) reflecting confidence in lithium price recovery and SQM's cost-advantaged position in the Atacama brine resource [1]</w:t>
      </w:r>
    </w:p>
    <w:p>
      <w:pPr>
        <w:spacing w:before="40" w:after="40"/>
        <w:ind w:left="283"/>
      </w:pPr>
      <w:r>
        <w:rPr>
          <w:rFonts w:ascii="Calibri" w:hAnsi="Calibri"/>
          <w:b/>
          <w:color w:val="4A6B25"/>
          <w:sz w:val="20"/>
        </w:rPr>
        <w:t xml:space="preserve">3. </w:t>
      </w:r>
      <w:r>
        <w:rPr>
          <w:rFonts w:ascii="Calibri" w:hAnsi="Calibri"/>
          <w:b w:val="0"/>
          <w:color w:val="3A4A28"/>
          <w:sz w:val="20"/>
        </w:rPr>
        <w:t>Diversified revenue base across lithium, iodine (record pricing), specialty plant nutrients, and potassium providing downside protection while lithium prices recover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lithium price cyclicality — revenue collapsed 57% from $10.7B (2022) to $4.5B (2024) as lithium prices crashed, and oversupply from new global projects could prevent price recovery [4]</w:t>
      </w:r>
    </w:p>
    <w:p>
      <w:pPr>
        <w:spacing w:before="40" w:after="40"/>
        <w:ind w:left="283"/>
      </w:pPr>
      <w:r>
        <w:rPr>
          <w:rFonts w:ascii="Calibri" w:hAnsi="Calibri"/>
          <w:b/>
          <w:color w:val="4A6B25"/>
          <w:sz w:val="20"/>
        </w:rPr>
        <w:t xml:space="preserve">2. </w:t>
      </w:r>
      <w:r>
        <w:rPr>
          <w:rFonts w:ascii="Calibri" w:hAnsi="Calibri"/>
          <w:b w:val="0"/>
          <w:color w:val="3A4A28"/>
          <w:sz w:val="20"/>
        </w:rPr>
        <w:t>Chilean political and regulatory risk from the Codelco partnership that nationalizes partial control of Atacama operations, with potential for changing government policies on mining royalties and environmental restrictions [1]</w:t>
      </w:r>
    </w:p>
    <w:p>
      <w:pPr>
        <w:spacing w:before="40" w:after="40"/>
        <w:ind w:left="283"/>
      </w:pPr>
      <w:r>
        <w:rPr>
          <w:rFonts w:ascii="Calibri" w:hAnsi="Calibri"/>
          <w:b/>
          <w:color w:val="4A6B25"/>
          <w:sz w:val="20"/>
        </w:rPr>
        <w:t xml:space="preserve">3. </w:t>
      </w:r>
      <w:r>
        <w:rPr>
          <w:rFonts w:ascii="Calibri" w:hAnsi="Calibri"/>
          <w:b w:val="0"/>
          <w:color w:val="3A4A28"/>
          <w:sz w:val="20"/>
        </w:rPr>
        <w:t>ESG controversies around water depletion in the Atacama Desert and inadequate indigenous community consultation processes (FPIC) creating reputational risk and potential regulatory constraints on production expansion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SQM's core business — extracting lithium from brine, mining potassium and iodine, and manufacturing specialty plant nutrients — is highly immune to AI disruption. These are physical-world, resource-intensive operations that require access to geological deposits, complex chemical processing, and regulatory mining concessions that AI cannot substitute [1]. Lithium is a critical input for AI infrastructure itself (powering the batteries in data center backup systems, EVs, and consumer electronics), meaning AI growth actually increases demand for SQM's primary product. The company's cost advantage stems from access to the world's highest-quality lithium brine resource in the Salar de Atacama, a physical moat that no AI system can replicate [1]. The only exposure is in corporate functions where AI could improve process efficiency for competitors, a marginal risk. AI Opportunity (0/1): SQM does not generate revenue from AI products or services. While the company may use process automation in its operations, no specific AI-driven revenue or quantified efficiency gains have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SQM FY2025 Results — $4.58B revenue, $588M net income ($2.06 EPS), record lithium output from Codelco JV, Scotiabank $100 PT upgrade; March 2026</w:t>
      </w:r>
    </w:p>
    <w:p>
      <w:pPr>
        <w:spacing w:before="20" w:after="20"/>
        <w:ind w:left="170"/>
      </w:pPr>
      <w:r>
        <w:rPr>
          <w:rFonts w:ascii="Calibri" w:hAnsi="Calibri"/>
          <w:b/>
          <w:color w:val="4A6B25"/>
          <w:sz w:val="15"/>
        </w:rPr>
        <w:t xml:space="preserve">2. </w:t>
      </w:r>
      <w:r>
        <w:rPr>
          <w:rFonts w:ascii="Calibri" w:hAnsi="Calibri"/>
          <w:b w:val="0"/>
          <w:color w:val="3A4A28"/>
          <w:sz w:val="17"/>
        </w:rPr>
        <w:t>SQM corporate profile — CEO Ricardo Ramos (since Jan 2019), 7.3yr avg management tenure, corporate values (Excellence, Safety, Integrity, Sustainability), 52-year history; SQM website, Wikipedia, 2024-2026</w:t>
      </w:r>
    </w:p>
    <w:p>
      <w:pPr>
        <w:spacing w:before="20" w:after="20"/>
        <w:ind w:left="170"/>
      </w:pPr>
      <w:r>
        <w:rPr>
          <w:rFonts w:ascii="Calibri" w:hAnsi="Calibri"/>
          <w:b/>
          <w:color w:val="4A6B25"/>
          <w:sz w:val="15"/>
        </w:rPr>
        <w:t xml:space="preserve">3. </w:t>
      </w:r>
      <w:r>
        <w:rPr>
          <w:rFonts w:ascii="Calibri" w:hAnsi="Calibri"/>
          <w:b w:val="0"/>
          <w:color w:val="3A4A28"/>
          <w:sz w:val="17"/>
        </w:rPr>
        <w:t>SQM ESG — Sustainalytics high exposure / strong management rating, Atacama water usage controversy, indigenous FPIC concerns, $10-15M annual community payments, ISO 14001 certification; Sustainalytics, Parliamentary submissions, 2021-2026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SQM (Sociedad Quimica y Minera),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