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SRAD</w:t>
      </w:r>
      <w:r>
        <w:rPr>
          <w:rFonts w:ascii="Calibri" w:hAnsi="Calibri"/>
          <w:b/>
          <w:color w:val="1A2010"/>
          <w:sz w:val="40"/>
        </w:rPr>
        <w:t xml:space="preserve">  Sportradar Group AG</w:t>
      </w:r>
    </w:p>
    <w:p>
      <w:pPr>
        <w:spacing w:after="120"/>
      </w:pPr>
      <w:r>
        <w:rPr>
          <w:rFonts w:ascii="Calibri" w:hAnsi="Calibri"/>
          <w:b/>
          <w:color w:val="6E8450"/>
          <w:sz w:val="18"/>
        </w:rPr>
        <w:t>GROWTH SLEEVE · 2026-04-12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Gambling, Resorts &amp; Casinos · NASDAQ · Switzerland</w:t>
      </w:r>
    </w:p>
    <w:p>
      <w:pPr>
        <w:spacing w:after="80"/>
      </w:pPr>
      <w:r>
        <w:rPr>
          <w:rFonts w:ascii="Calibri" w:hAnsi="Calibri"/>
          <w:b w:val="0"/>
          <w:color w:val="3A4A28"/>
          <w:sz w:val="20"/>
        </w:rPr>
        <w:t>Sportradar is a global leader in sports technology providing data, content, and integrity services to bookmakers, sports federations, and media companies. The company powers sports betting technology, streaming, and AI-driven content across more than 900 sports betting operators worldwide and holds exclusive data partnerships with the NBA, NFL, NHL, MLB, ATP, and (newly renewed) FIFA.</w:t>
      </w:r>
    </w:p>
    <w:p>
      <w:r>
        <w:rPr>
          <w:rFonts w:ascii="Calibri" w:hAnsi="Calibri"/>
          <w:b/>
          <w:color w:val="6E8450"/>
          <w:sz w:val="18"/>
        </w:rPr>
        <w:t>4,500 Employees · https://www.sportradar.com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Sportradar transformed from a sports data aggregator to a full-stack sports tech platform, delivering record 2025 revenue of $1.5B (+17% YoY) and Adjusted EBITDA of $297M (+33%) [1][3]. Betting Technology &amp; Solutions grew to $305M in Q4 (+24%) and betting &amp; gaming content surged 29%, with the FIFA data rights renewal anchoring the next leg of growth [1][3]. AI Deployment (2/2): The appointment of Behshad Behzadi (former Google Assistant co-founder) as Chief Product, Technology and AI Officer has accelerated generative AI deployment across alphaGo-style predictive models, live streaming personalization, and integrity monitoring [2]. Prediction-markets expansion was explicitly flagged as a 2026 growth driver [1]. Market Share (2/2): Sportradar is the dominant global sports data integrator, holding exclusive rights across NBA, NFL, NHL, MLB, ATP and the renewed FIFA partnership, covering 900+ bookmakers and streaming 525,000+ matches in 2025 with plans to exceed 700,000 in 2026 [1][3]. Pipeline (1/2): 2026 guidance of 23-25% constant-currency revenue growth ($1.56-1.58B) and 34-37% EBITDA growth ($390-400M) shows visible acceleration, but long-dated pipeline visibility is limited by rights renewal cycles [1]. R&amp;D Intensity (0/1): R&amp;D spend is not disclosed at a premium to SaaS peers; most tech investment is embedded in content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Sportradar's vision 'to become the engine of the sports world' is specific and thoughtful, connecting the data business to a broader technology transformation of global sport [2]. Founder-CEO Carsten Koerl has led since 2001, lending continuity to the mission. Community Impact (1/2): Sportradar funds Integrity Services that combat match-fixing globally and partnered with the UN Office on Drugs and Crime, plus four Employee Resource Groups [4]. No specific dollar-scale foundation disclosed. Employee Retention (0/2): Glassdoor reviews paint a mixed picture (3.6/5, 64% recommend) but include pointed criticism of 'toxic' culture, 'blatant favoritism,' and 'talent drain' among high performers [2]. No above-average retention data. Insider Buying (1/2): Koerl remains a major shareholder with significant skin in the game, and the board authorized buybacks of Class A shares signaling capital discipline, though recent net insider activity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Balance sheet is pristine — D/E of just 6% with $422.8M cash vs. $73.6M debt (net cash $349.3M / $1.17 per share) [5]. ROE of 10.5% is sub-target but improving as margin expansion accelerates; ROIC of 19.8% signals strong unit economics [5]. Revenue growth is the standout metric: 17% in 2025 accelerating to 23-25% guide for 2026, with a 5yr CAGR comfortably in double digits [1]. Forward P/E of 36.6x is elevated but reasonable given 34-37% EBITDA growth guide, implying a Forward PEG near 1.5 [5]. Profit margin (~8% net) is thin but scaling. Liquidity floor easily cleared: market cap $5.12B, avg daily volume ~3M+ shares at $15.48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Sportradar is a long-duration founder-led business with an expansive vision ('engine of the sports world') and 25-year league partnerships that imply infinite-horizon thinking. But culture complaints, dependence on gambling tailwinds, and a monopolistic rather than collaborative competitive stance pull the score toward MIXED rather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Carsten Koerl has held the helm since 2001, pursuing the same 'engine of the sports world' vision across two decades, multiple sports rights cycles, and the IPO transition [2]. The cause is distinctive and has been lived out through long-term league investments, but the business is intertwined with the gambling industry, which limits the loftiness of the Just Cause in Sinek's sense.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Glassdoor reviews describe 'toxic' culture, 'blatant favoritism,' and 'accelerating talent drain among high performers' [2]. Overall 3.6/5 rating with only 64% recommending the company indicates a middling-to-weak Circle of Safety. No evidence of unusually long tenure or psychological safety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Sportradar's competitive language emphasizes exclusive rights domination rather than learning from rivals like Genius Sports or IMG Arena. Management framing in recent earnings calls focuses on 'winning' rights deals and extending monopoly positions rather than acknowledging rival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Sportradar evolved from a pure data feed provider to a betting technology, streaming, AI, and integrity-services platform — an incremental expansion rather than a bet-the-company pivot [1][2]. The move into prediction markets and AI-native products shows willingness to adapt, but no Kodak-to-Fuji-scale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Koerl's long-term investments in AI leadership (hiring Behshad Behzadi) and multi-year league rights (FIFA renewal, NBA extension) show willingness to spend today for capability tomorrow [1][2]. However, the persistent culture issues suggest leadership has not shown the courage to address internal organizational health with the same discipline applied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Sportradar is the dominant global sports technology integrator, delivering record 2025 revenue of $1.5B (+17%) with Adjusted EBITDA of $297M (+33%) and a 2026 guide of 23-25% constant-currency revenue growth to $1.56-1.58B and $390-400M EBITDA (+34-37%) [1][3]. The business is protected by multi-year exclusive rights with the NBA, NFL, NHL, MLB, ATP, and a newly renewed FIFA partnership, covering 900+ bookmakers and streaming 525,000+ matches (targeting 700K+ in 2026) [1][3]. A pristine balance sheet ($349M net cash, 6% D/E), 19.8% ROIC, and a newly hired Chief AI Officer (co-founder of Google Assistant) position the company for operating leverage and AI-driven product expansion, including the emerging prediction-markets opportunity [2][5].</w:t>
      </w:r>
    </w:p>
    <w:p>
      <w:pPr>
        <w:spacing w:after="120"/>
      </w:pPr>
      <w:r>
        <w:rPr>
          <w:rFonts w:ascii="Calibri" w:hAnsi="Calibri"/>
          <w:b w:val="0"/>
          <w:color w:val="3A4A28"/>
          <w:sz w:val="20"/>
        </w:rPr>
        <w:t>The bear case centers on culture, valuation, and structural dependence on gambling. Glassdoor reviews flag a 'toxic' environment with 'talent drain among high performers' and accelerating attrition in AI/engineering [2], creating execution risk for the 2026 guide. Forward P/E of 36.6x and Forward PEG near 1.5 leave little cushion if growth decelerates [5]. The revenue base is concentrated in regulated sports betting, exposing Sportradar to jurisdictional crackdowns, tax increases (like the UK remote gaming duty), and long-dated rights-cost inflation as leagues extract more value at renewal. Net profit margin remains thin (~8%) and ROE of 10.5% is below IOWN's 15% target [5]. The Inspire negative attribution for 'Gambling' keeps the faith-alignment label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guide of 23-25% constant-currency revenue growth and 34-37% Adjusted EBITDA growth with 200-225 bps of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Prediction markets expansion and AI-native products (alphaGo predictive tools, automated content, personalized streaming) under new CTO/CAIO Behshad Behzadi [2]</w:t>
      </w:r>
    </w:p>
    <w:p>
      <w:pPr>
        <w:spacing w:before="40" w:after="40"/>
        <w:ind w:left="283"/>
      </w:pPr>
      <w:r>
        <w:rPr>
          <w:rFonts w:ascii="Calibri" w:hAnsi="Calibri"/>
          <w:b/>
          <w:color w:val="4A6B25"/>
          <w:sz w:val="20"/>
        </w:rPr>
        <w:t xml:space="preserve">3. </w:t>
      </w:r>
      <w:r>
        <w:rPr>
          <w:rFonts w:ascii="Calibri" w:hAnsi="Calibri"/>
          <w:b w:val="0"/>
          <w:color w:val="3A4A28"/>
          <w:sz w:val="20"/>
        </w:rPr>
        <w:t>FIFA rights renewal plus 700,000+ streamed events in 2026 extending the Sportradar moat across global sport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Culture and talent drain — Glassdoor and employee reports cite toxic leadership and accelerating departures of high performers, threatening execution on AI roadmap [2]</w:t>
      </w:r>
    </w:p>
    <w:p>
      <w:pPr>
        <w:spacing w:before="40" w:after="40"/>
        <w:ind w:left="283"/>
      </w:pPr>
      <w:r>
        <w:rPr>
          <w:rFonts w:ascii="Calibri" w:hAnsi="Calibri"/>
          <w:b/>
          <w:color w:val="4A6B25"/>
          <w:sz w:val="20"/>
        </w:rPr>
        <w:t xml:space="preserve">2. </w:t>
      </w:r>
      <w:r>
        <w:rPr>
          <w:rFonts w:ascii="Calibri" w:hAnsi="Calibri"/>
          <w:b w:val="0"/>
          <w:color w:val="3A4A28"/>
          <w:sz w:val="20"/>
        </w:rPr>
        <w:t>Gambling regulation — new remote gaming duties (UK), US state-by-state taxation, and potential prediction-market crackdowns could compress bookmaker margins and Sportradar's take rate [4]</w:t>
      </w:r>
    </w:p>
    <w:p>
      <w:pPr>
        <w:spacing w:before="40" w:after="40"/>
        <w:ind w:left="283"/>
      </w:pPr>
      <w:r>
        <w:rPr>
          <w:rFonts w:ascii="Calibri" w:hAnsi="Calibri"/>
          <w:b/>
          <w:color w:val="4A6B25"/>
          <w:sz w:val="20"/>
        </w:rPr>
        <w:t xml:space="preserve">3. </w:t>
      </w:r>
      <w:r>
        <w:rPr>
          <w:rFonts w:ascii="Calibri" w:hAnsi="Calibri"/>
          <w:b w:val="0"/>
          <w:color w:val="3A4A28"/>
          <w:sz w:val="20"/>
        </w:rPr>
        <w:t>Rights cost inflation — league renewals (NBA, NFL, FIFA) extract increasing economics, squeezing gross margin if pricing power with bookmakers doesn't keep 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Sportradar is not disrupted by AI — it IS an AI-driven sports data and integrity platform. The business depends on exclusive multi-year rights contracts with leagues (NBA, NFL, NHL, MLB, ATP, FIFA) that AI tools cannot replicate, and real-time live data ingestion, computer vision, and integrity fraud detection are AI-native workflows [1][2]. The naming of a former Google Assistant co-founder as Chief AI Officer signals AI is offense, not defense [2]. AI Opportunity (1/1): Sportradar is actively generating AI revenue through alphaGo-style predictive products, AI-driven content (automated match recaps, personalized streaming), and the emerging prediction-markets opportunity that management cited as a 2026 growth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Sportradar FY2025 Earnings Release and 2026 Guidance — $1.3B-$1.5B revenue, 17% growth, Adjusted EBITDA $297M (+33%), March 2026</w:t>
      </w:r>
    </w:p>
    <w:p>
      <w:pPr>
        <w:spacing w:before="20" w:after="20"/>
        <w:ind w:left="170"/>
      </w:pPr>
      <w:r>
        <w:rPr>
          <w:rFonts w:ascii="Calibri" w:hAnsi="Calibri"/>
          <w:b/>
          <w:color w:val="4A6B25"/>
          <w:sz w:val="15"/>
        </w:rPr>
        <w:t xml:space="preserve">2. </w:t>
      </w:r>
      <w:r>
        <w:rPr>
          <w:rFonts w:ascii="Calibri" w:hAnsi="Calibri"/>
          <w:b w:val="0"/>
          <w:color w:val="3A4A28"/>
          <w:sz w:val="17"/>
        </w:rPr>
        <w:t>Sportradar investor relations — CEO Carsten Koerl commentary, Chief AI Officer Behshad Behzadi appointment, and vision statement;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AGB / SBC Americas — Sportradar record revenue, FIFA renewal, prediction markets commentary, March 2026</w:t>
      </w:r>
    </w:p>
    <w:p>
      <w:pPr>
        <w:spacing w:before="20" w:after="20"/>
        <w:ind w:left="170"/>
      </w:pPr>
      <w:r>
        <w:rPr>
          <w:rFonts w:ascii="Calibri" w:hAnsi="Calibri"/>
          <w:b/>
          <w:color w:val="4A6B25"/>
          <w:sz w:val="15"/>
        </w:rPr>
        <w:t xml:space="preserve">4. </w:t>
      </w:r>
      <w:r>
        <w:rPr>
          <w:rFonts w:ascii="Calibri" w:hAnsi="Calibri"/>
          <w:b w:val="0"/>
          <w:color w:val="3A4A28"/>
          <w:sz w:val="17"/>
        </w:rPr>
        <w:t>Sportradar ESG/Sustainability Report FY2025 — Integrity Services, diversity, environmental and regulatory disclosures</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Finviz — SRAD valuation, ROE, D/E, cash position data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