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SRE</w:t>
      </w:r>
      <w:r>
        <w:rPr>
          <w:rFonts w:ascii="Calibri" w:hAnsi="Calibri"/>
          <w:b/>
          <w:color w:val="1A2010"/>
          <w:sz w:val="40"/>
        </w:rPr>
        <w:t xml:space="preserve">  Sempra</w:t>
      </w:r>
    </w:p>
    <w:p>
      <w:pPr>
        <w:spacing w:after="120"/>
      </w:pPr>
      <w:r>
        <w:rPr>
          <w:rFonts w:ascii="Calibri" w:hAnsi="Calibri"/>
          <w:b/>
          <w:color w:val="6E8450"/>
          <w:sz w:val="18"/>
        </w:rPr>
        <w:t>DIVIDEND SLEEVE · 2026-04-07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Diversified · NYSE · United States</w:t>
      </w:r>
    </w:p>
    <w:p>
      <w:pPr>
        <w:spacing w:after="80"/>
      </w:pPr>
      <w:r>
        <w:rPr>
          <w:rFonts w:ascii="Calibri" w:hAnsi="Calibri"/>
          <w:b w:val="0"/>
          <w:color w:val="3A4A28"/>
          <w:sz w:val="20"/>
        </w:rPr>
        <w:t>Sempra is a diversified energy infrastructure company operating through three segments: Sempra California (SDG&amp;E and SoCalGas serving 24.6 million population), Sempra Texas Utilities (Oncor, 4.1 million delivery points), and Sempra Infrastructure (LNG and energy infrastructure in the U.S. and Mexico). The company serves more daily energy needs of Americans than any other U.S. utility.</w:t>
      </w:r>
    </w:p>
    <w:p>
      <w:r>
        <w:rPr>
          <w:rFonts w:ascii="Calibri" w:hAnsi="Calibri"/>
          <w:b/>
          <w:color w:val="6E8450"/>
          <w:sz w:val="18"/>
        </w:rPr>
        <w:t>15,938 Employees · https://www.sempra.com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Sempra has executed a multi-year transformation from a regional California utility into a diversified energy infrastructure company, with the 2023 rebrand from Sempra Energy to Sempra reflecting the strategic pivot [1]. The $56B record five-year capital plan and Oncor's projected 30%+ increase in its 2026–2030 base capital plan demonstrate large-scale infrastructure execution [1]. AI Deployment (1/2): Sempra leverages AI for weather forecasting, grid monitoring, and predictive maintenance to prevent service disruptions — deployed operationally but not yet generating standalone AI revenue [2]. Market Share (2/2): Sempra serves more Americans' daily energy needs than any other U.S. company, with SDG&amp;E/SoCalGas covering 24.6 million population in California and Oncor operating 18,418+ circuit miles of transmission in Texas — dominant regulated utility positions [1][2]. Pipeline (2/2): The $56B five-year capital plan is the largest in company history, with Oncor anticipating 30%+ increase in base capital spending to meet Texas electricity demand expected to nearly double by 2030, driven by data center and AI growth [1][2]. R&amp;D Intensity (0/1): Utility-standard R&amp;D investment; innovation occurs through capital deployment rather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Sempra's stated mission to 'build America's leading utility growth business' is clear and identifies the company's aspiration but is fundamentally about market position rather than a deeper purpose. The commitment to decarbonization, resilience, and affordability adds substance but remains industry-standard for large utilities [2]. Community Impact (1/2): Named to 3BL Media's '100 Best Corporate Citizens' list for 12 consecutive years and ranked third in the utility industry for ESG performance [3]. Forbes named Sempra one of America's Best Employers for Company Culture [2]. Employee Retention (1/2): Forbes culture recognition and the company's emphasis on inclusive work environment, safety, and ethics suggest above-average employee engagement for the utility sector, though specific turnover or tenure data is unavailable [2]. Insider Buying (0/2): No evidence of meaningful net insider buying by CEO Jeffrey Martin or other executives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Sempra's financial profile reflects a capital-intensive regulated utility with strong cash flow and moderate leverage. D/E of 83.4% is reasonable for a utility company, and the forward P/E of 17.7x is attractive relative to the 7-9% long-term EPS growth guidance [1][4]. However, ROE of 5.2% is weak, reflecting the capital-intensive nature of utility operations and recent earnings compression. Profit margin of 13.4% is moderate for utilities. Revenue of $13.7B was essentially flat YoY (-0.2%), and the 3-year CAGR from 2022 is slightly negative due to commodity price normalization post-2023 [4]. Payout ratio of 93.8% is elevated, leaving minimal earnings cushion for dividend growth. Consecutive years paid exceeds 25 years, and the dividend has grown ~5% annually over 5 years with 14+ consecutive years of increases [4]. Liquidity easily cleared: 4.0M avg vol × $98.01 = $393.8M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Sempra operates with a mixed mindset — CEO Jeffrey Martin's vision to build America's leading utility growth business through a $56B capital campaign demonstrates long-term infrastructure thinking, but the framing centers on growth and market leadership rather than an enduring cause. The company makes multi-decade infrastructure bets (LNG terminals, transmission expansion) that inherently require infinite game thinking, even if the articulated purpose is finite.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Sempra's purpose — 'build America's leading utility growth business' — is a competitive aspiration rather than a Just Cause in Sinek's framework [2]. It describes what the company wants to become, not a future state it wants to create for others. The commitment to 'decarbonization, resilience, and affordability' adds depth but reads as industry-standard positioning rather than a deeply held conviction that shapes strategic decisions [3]. The cause exists but is shallow.</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Forbes named Sempra one of America's Best Employers for Company Culture, and the company emphasizes an inclusive environment where employees 'feel a true sense of belonging and safety' [2]. CEO Jeffrey Martin leads ~16,000 employees with a consistent leadership team. The emphasis on ethics, safety, and standing up for what's right suggests adequate organizational trust, though utility culture tends toward hierarchical rather than empowering.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Sempra's positioning as serving 'more daily energy needs of Americans than any other U.S. company' is inherently about being the biggest, not about learning from competitors [2]. The utility industry's regulated structure limits competitive dynamics, but the language consistently frames Sempra's ambition in terms of market leadership.</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Sempra has meaningfully evolved from a regional California utility (SDG&amp;E/SoCalGas) into a three-platform energy infrastructure company with Texas utilities (Oncor) and international infrastructure (LNG, Mexico) [1]. The 2023 rebrand and strategic reorganization reflect genuine business model evolution. However, the core business remains regulated energy delivery — the evolution is geographic and structural diversification,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$56B five-year capital plan — the largest in company history — represents a courageous long-term bet on energy infrastructure demand driven by data centers and electrification [1]. Raising the long-term EPS growth rate to 7-9% backed by massive capital deployment signals confidence in multi-decade infrastructure returns. The investment in LNG export capacity and Texas grid expansion are inherently long-duration commitments.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Sempra is a premier utility growth story positioned at the intersection of America's energy infrastructure buildout and AI-driven electricity demand. The $56B record five-year capital plan is the largest in company history, with Oncor expecting 30%+ base capital increases as Texas electricity demand is projected to nearly double by 2030 due to data centers [1][2]. Forward P/E of 17.7x is attractive for a utility guiding 7-9% long-term EPS growth, with 2026 EPS guidance of $4.80-$5.30 representing 12% YoY growth from the 2025 midpoint [1]. The 2.65% dividend yield with 14+ consecutive years of growth provides income stability, and the company's three-platform structure (California regulated, Texas regulated, Infrastructure) diversifies regulatory and commodity risk. Sempra serves more Americans' daily energy needs than any other U.S. company, creating an unmatched regulated utility moat [2].</w:t>
      </w:r>
    </w:p>
    <w:p>
      <w:pPr>
        <w:spacing w:after="120"/>
      </w:pPr>
      <w:r>
        <w:rPr>
          <w:rFonts w:ascii="Calibri" w:hAnsi="Calibri"/>
          <w:b w:val="0"/>
          <w:color w:val="3A4A28"/>
          <w:sz w:val="20"/>
        </w:rPr>
        <w:t>The bear case centers on execution risk and financial strain from the massive capital program. The 93.8% payout ratio leaves virtually no earnings cushion, and ROE of just 5.2% raises questions about capital efficiency despite the growth narrative [4]. Revenue has been flat to declining (-0.2% YoY, negative 3-year CAGR) as commodity price normalization offset volume growth. The $35B in total debt against only $29M cash creates significant leverage risk if rate cases or capital deployment face delays. California wildfire liability remains a tail risk — SDG&amp;E paid $379M for the 2007 wildfires and the Supreme Court upheld the prohibition on rate recovery [3]. Earnings growth of -48.2% in the most recent period contradicts the growth story, and trailing P/E of 35.6x reflects depressed near-term earnings. The Texas growth thesis depends on data center demand materializing as projected — any slowdown in AI infrastructure spending could compress Oncor's growth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and data center electricity demand driving Texas grid buildout — Oncor's 30%+ capital plan increase directly tied to projected doubling of Texas electricity demand by 2030 [1][2]</w:t>
      </w:r>
    </w:p>
    <w:p>
      <w:pPr>
        <w:spacing w:before="40" w:after="40"/>
        <w:ind w:left="283"/>
      </w:pPr>
      <w:r>
        <w:rPr>
          <w:rFonts w:ascii="Calibri" w:hAnsi="Calibri"/>
          <w:b/>
          <w:color w:val="4A6B25"/>
          <w:sz w:val="20"/>
        </w:rPr>
        <w:t xml:space="preserve">2. </w:t>
      </w:r>
      <w:r>
        <w:rPr>
          <w:rFonts w:ascii="Calibri" w:hAnsi="Calibri"/>
          <w:b w:val="0"/>
          <w:color w:val="3A4A28"/>
          <w:sz w:val="20"/>
        </w:rPr>
        <w:t>2026 EPS guidance of $4.80-$5.30 (12% YoY growth) with long-term EPS growth rate raised to 7-9%, supporting dividend growth acceleration [1]</w:t>
      </w:r>
    </w:p>
    <w:p>
      <w:pPr>
        <w:spacing w:before="40" w:after="40"/>
        <w:ind w:left="283"/>
      </w:pPr>
      <w:r>
        <w:rPr>
          <w:rFonts w:ascii="Calibri" w:hAnsi="Calibri"/>
          <w:b/>
          <w:color w:val="4A6B25"/>
          <w:sz w:val="20"/>
        </w:rPr>
        <w:t xml:space="preserve">3. </w:t>
      </w:r>
      <w:r>
        <w:rPr>
          <w:rFonts w:ascii="Calibri" w:hAnsi="Calibri"/>
          <w:b w:val="0"/>
          <w:color w:val="3A4A28"/>
          <w:sz w:val="20"/>
        </w:rPr>
        <w:t>Sempra Infrastructure LNG export capacity expansion benefiting from global energy security demand and favorable U.S. natural gas pricing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California wildfire liability exposure — SDG&amp;E operates in fire-prone Southern California where inverse condemnation doctrine can assign utility liability regardless of negligence [3]</w:t>
      </w:r>
    </w:p>
    <w:p>
      <w:pPr>
        <w:spacing w:before="40" w:after="40"/>
        <w:ind w:left="283"/>
      </w:pPr>
      <w:r>
        <w:rPr>
          <w:rFonts w:ascii="Calibri" w:hAnsi="Calibri"/>
          <w:b/>
          <w:color w:val="4A6B25"/>
          <w:sz w:val="20"/>
        </w:rPr>
        <w:t xml:space="preserve">2. </w:t>
      </w:r>
      <w:r>
        <w:rPr>
          <w:rFonts w:ascii="Calibri" w:hAnsi="Calibri"/>
          <w:b w:val="0"/>
          <w:color w:val="3A4A28"/>
          <w:sz w:val="20"/>
        </w:rPr>
        <w:t>Elevated payout ratio of 93.8% leaves no margin for earnings misses; any shortfall in EPS could force dividend growth deceleration or suspension [4]</w:t>
      </w:r>
    </w:p>
    <w:p>
      <w:pPr>
        <w:spacing w:before="40" w:after="40"/>
        <w:ind w:left="283"/>
      </w:pPr>
      <w:r>
        <w:rPr>
          <w:rFonts w:ascii="Calibri" w:hAnsi="Calibri"/>
          <w:b/>
          <w:color w:val="4A6B25"/>
          <w:sz w:val="20"/>
        </w:rPr>
        <w:t xml:space="preserve">3. </w:t>
      </w:r>
      <w:r>
        <w:rPr>
          <w:rFonts w:ascii="Calibri" w:hAnsi="Calibri"/>
          <w:b w:val="0"/>
          <w:color w:val="3A4A28"/>
          <w:sz w:val="20"/>
        </w:rPr>
        <w:t>Execution risk on $56B capital plan — regulatory delays, supply chain constraints, or slower-than-expected data center demand could impair returns on the largest capital program in company history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Sempra is structurally immune to AI disruption — AI cannot replace regulated electric and gas utility infrastructure that requires physical transmission lines, substations, pipelines, and LNG terminals [2]. More importantly, AI is a direct demand driver: Texas electricity demand is expected to nearly double by 2030 due to data center and AI workload growth, directly benefiting Oncor's transmission and distribution business [2]. Every new AI data center requires more electricity, more grid capacity, and more infrastructure — exactly what Sempra builds and operates. The regulated utility model with long-term rate-based returns provides structural protection that no software can displace. AI Opportunity (0/1): While Sempra uses AI internally for grid monitoring and weather forecasting, it does not generate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Sempra 2025 Full-Year Financial Results and $56B Capital Plan Update — 2026 EPS guidance $4.80-$5.30, 7-9% LT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Sempra Corporate Website — CEO Jeffrey Martin leadership, high-performance culture, AI/data center demand, innovation initiatives,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Investing.com SWOT Analysis / Insurance Journal — wildfire liability, ESG recognition, regulatory risks,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SRE (Sempra),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