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SRRK</w:t>
      </w:r>
      <w:r>
        <w:rPr>
          <w:rFonts w:ascii="Calibri" w:hAnsi="Calibri"/>
          <w:b/>
          <w:color w:val="1A2010"/>
          <w:sz w:val="40"/>
        </w:rPr>
        <w:t xml:space="preserve">  Scholar Rock Holding Corporation</w:t>
      </w:r>
    </w:p>
    <w:p>
      <w:pPr>
        <w:spacing w:after="120"/>
      </w:pPr>
      <w:r>
        <w:rPr>
          <w:rFonts w:ascii="Calibri" w:hAnsi="Calibri"/>
          <w:b/>
          <w:color w:val="6E8450"/>
          <w:sz w:val="18"/>
        </w:rPr>
        <w:t>GROWTH SLEEVE · 2026-05-02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Scholar Rock Holding Corporation is a biopharmaceutical company focused on improving the lives of children and adults with spinal muscular atrophy (SMA) and other rare, severe, and debilitating neuromuscular diseases through innovative treatments targeting protein growth factors.</w:t>
      </w:r>
    </w:p>
    <w:p>
      <w:r>
        <w:rPr>
          <w:rFonts w:ascii="Calibri" w:hAnsi="Calibri"/>
          <w:b/>
          <w:color w:val="6E8450"/>
          <w:sz w:val="18"/>
        </w:rPr>
        <w:t>289 Employees · https://www.scholarrock.com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Scholar Rock's apitegromab represents a first-in-class anti-myostatin approach to SMA that addresses unmet need in muscle strength beyond existing gene therapies [1]. The BLA resubmission is expected in 2026 following FDA reinspection clearance, with European regulatory decision anticipated mid-2026 [3]. Pipeline expansion into cardiometabolic disorders and cancer demonstrates R&amp;D breadth, though the company remains pre-revenue with a single lead asset driving near-term value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to improve lives of SMA patients provides a clear patient-centered purpose, but recent leadership transitions have created cultural instability [4]. Glassdoor rating of 3.6/5 with 68% recommendation rate reveals mixed employee sentiment — some praise dedicated teams while others cite fear-based culture under new management focused solely on revenue [4][5]. Insider alignment is unclear during this transitional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biotech with zero profit margin, negative ROE of -123%, and reliance on $367.6 million cash plus $550 million in non-dilutive debt to fund operations through commercialization [2]. Forward P/E of -21.7 reflects expected continued losses. However, liquidity floor is met: avg daily volume of 1.44M shares × $46.37 price = ~$66.6M daily liquidity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Scholar Rock demonstrates elements of infinite thinking through its focus on rare disease patients with significant unmet needs, but recent leadership changes and a culture shift toward revenue-first mentality suggest finite pressures are increasing as commercialization approaches.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Improving motor function and quality of life for SMA patients represents a compelling just cause that transcends quarterly metrics [1]. The company's pipeline expansion into cardiometabolic and oncology suggests long-term vision beyond a single product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split culture — legacy employees praise dedicated, talented teams while recent hires report fear-based management and lack of work-life balance under new leadership [4][5]. The 68% recommendation rate is below biotech industry averages.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Scholar Rock competes in the SMA space against Novartis (Zolgensma), Biogen/Roche (Evrysdi), and positions apitegromab as complementary rather than replacement therapy [1]. This collaborative positioning shows awareness of ecosystem dynamics.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Expansion from SMA into cardiometabolic disorders and cancer through the anti-myostatin platform demonstrates willingness to pivot and broaden applications [3]. Securing $550M in non-dilutive debt preserves equity flexibility for future strategic moves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transition raises questions about strategic courage. The decision to pursue non-dilutive financing over equity dilution shows financial discipline, but employee reports of culture degradation suggest short-term revenue pressure may be overriding long-term culture building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Scholar Rock is a high-risk, high-reward pre-commercial biotech positioned for a transformative 2026 with apitegromab's potential U.S. and European launches in SMA. The company targets a $2 billion revenue opportunity within a growing $5 billion SMA market, differentiated by addressing muscle strength — an unmet need not served by existing gene therapies.</w:t>
      </w:r>
    </w:p>
    <w:p>
      <w:pPr>
        <w:spacing w:after="120"/>
      </w:pPr>
      <w:r>
        <w:rPr>
          <w:rFonts w:ascii="Calibri" w:hAnsi="Calibri"/>
          <w:b w:val="0"/>
          <w:color w:val="3A4A28"/>
          <w:sz w:val="20"/>
        </w:rPr>
        <w:t>Key risks center on regulatory execution (BLA resubmission timing), manufacturing dependencies (Catalent facility), and cash burn before revenue generation. The $367.6M cash position plus $550M debt facility provides runway, but the binary nature of FDA approval creates significant downside risk. Cultural concerns under new management warrant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resubmission and potential FDA approval for apitegromab in SMA during 2026, unlocking U.S. commercial launch</w:t>
      </w:r>
    </w:p>
    <w:p>
      <w:pPr>
        <w:spacing w:before="40" w:after="40"/>
        <w:ind w:left="283"/>
      </w:pPr>
      <w:r>
        <w:rPr>
          <w:rFonts w:ascii="Calibri" w:hAnsi="Calibri"/>
          <w:b/>
          <w:color w:val="4A6B25"/>
          <w:sz w:val="20"/>
        </w:rPr>
        <w:t xml:space="preserve">2. </w:t>
      </w:r>
      <w:r>
        <w:rPr>
          <w:rFonts w:ascii="Calibri" w:hAnsi="Calibri"/>
          <w:b w:val="0"/>
          <w:color w:val="3A4A28"/>
          <w:sz w:val="20"/>
        </w:rPr>
        <w:t>European regulatory decision expected mid-2026 with planned Germany launch in H2 2026</w:t>
      </w:r>
    </w:p>
    <w:p>
      <w:pPr>
        <w:spacing w:before="40" w:after="40"/>
        <w:ind w:left="283"/>
      </w:pPr>
      <w:r>
        <w:rPr>
          <w:rFonts w:ascii="Calibri" w:hAnsi="Calibri"/>
          <w:b/>
          <w:color w:val="4A6B25"/>
          <w:sz w:val="20"/>
        </w:rPr>
        <w:t xml:space="preserve">3. </w:t>
      </w:r>
      <w:r>
        <w:rPr>
          <w:rFonts w:ascii="Calibri" w:hAnsi="Calibri"/>
          <w:b w:val="0"/>
          <w:color w:val="3A4A28"/>
          <w:sz w:val="20"/>
        </w:rPr>
        <w:t>Pipeline expansion into cardiometabolic and oncology indications leveraging anti-myostatin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Complete Response Letter would devastate share price given pre-revenue status</w:t>
      </w:r>
    </w:p>
    <w:p>
      <w:pPr>
        <w:spacing w:before="40" w:after="40"/>
        <w:ind w:left="283"/>
      </w:pPr>
      <w:r>
        <w:rPr>
          <w:rFonts w:ascii="Calibri" w:hAnsi="Calibri"/>
          <w:b/>
          <w:color w:val="4A6B25"/>
          <w:sz w:val="20"/>
        </w:rPr>
        <w:t xml:space="preserve">2. </w:t>
      </w:r>
      <w:r>
        <w:rPr>
          <w:rFonts w:ascii="Calibri" w:hAnsi="Calibri"/>
          <w:b w:val="0"/>
          <w:color w:val="3A4A28"/>
          <w:sz w:val="20"/>
        </w:rPr>
        <w:t>Manufacturing dependency on third-party Catalent facility that previously failed FDA inspection</w:t>
      </w:r>
    </w:p>
    <w:p>
      <w:pPr>
        <w:spacing w:before="40" w:after="40"/>
        <w:ind w:left="283"/>
      </w:pPr>
      <w:r>
        <w:rPr>
          <w:rFonts w:ascii="Calibri" w:hAnsi="Calibri"/>
          <w:b/>
          <w:color w:val="4A6B25"/>
          <w:sz w:val="20"/>
        </w:rPr>
        <w:t xml:space="preserve">3. </w:t>
      </w:r>
      <w:r>
        <w:rPr>
          <w:rFonts w:ascii="Calibri" w:hAnsi="Calibri"/>
          <w:b w:val="0"/>
          <w:color w:val="3A4A28"/>
          <w:sz w:val="20"/>
        </w:rPr>
        <w:t>Cash burn acceleration during commercial launch ramp with no revenue to offset operating expenses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Biotech drug development is highly specialized with regulatory moats that limit AI disruption risk. AI is an enabler for Scholar Rock in clinical trial design, biomarker identification, and manufacturing optimization rather than a competitive threat [4][5]. The company's proprietary anti-myostatin biology platform creates defensible IP that cannot be easily replicated by AI-driven competitors. AI adoption in drug discovery processes provides modest upside opportunity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Scholar Rock Highlights 2026 Strategic Priorities, Investors.ScholarRock.com, January 2026</w:t>
      </w:r>
    </w:p>
    <w:p>
      <w:pPr>
        <w:spacing w:before="20" w:after="20"/>
        <w:ind w:left="170"/>
      </w:pPr>
      <w:r>
        <w:rPr>
          <w:rFonts w:ascii="Calibri" w:hAnsi="Calibri"/>
          <w:b/>
          <w:color w:val="4A6B25"/>
          <w:sz w:val="15"/>
        </w:rPr>
        <w:t xml:space="preserve">2. </w:t>
      </w:r>
      <w:r>
        <w:rPr>
          <w:rFonts w:ascii="Calibri" w:hAnsi="Calibri"/>
          <w:b w:val="0"/>
          <w:color w:val="3A4A28"/>
          <w:sz w:val="17"/>
        </w:rPr>
        <w:t>Scholar Rock Reports Fourth Quarter and Full Year 2025 Financial Results, Investors.ScholarRock.com, March 2026</w:t>
      </w:r>
    </w:p>
    <w:p>
      <w:pPr>
        <w:spacing w:before="20" w:after="20"/>
        <w:ind w:left="170"/>
      </w:pPr>
      <w:r>
        <w:rPr>
          <w:rFonts w:ascii="Calibri" w:hAnsi="Calibri"/>
          <w:b/>
          <w:color w:val="4A6B25"/>
          <w:sz w:val="15"/>
        </w:rPr>
        <w:t xml:space="preserve">3. </w:t>
      </w:r>
      <w:r>
        <w:rPr>
          <w:rFonts w:ascii="Calibri" w:hAnsi="Calibri"/>
          <w:b w:val="0"/>
          <w:color w:val="3A4A28"/>
          <w:sz w:val="17"/>
        </w:rPr>
        <w:t>Scholar Rock Targets $2 Billion Apitegromab Revenue Amid SMA Market Growth, AInvest.com, January 2026</w:t>
      </w:r>
    </w:p>
    <w:p>
      <w:pPr>
        <w:spacing w:before="20" w:after="20"/>
        <w:ind w:left="170"/>
      </w:pPr>
      <w:r>
        <w:rPr>
          <w:rFonts w:ascii="Calibri" w:hAnsi="Calibri"/>
          <w:b/>
          <w:color w:val="4A6B25"/>
          <w:sz w:val="15"/>
        </w:rPr>
        <w:t xml:space="preserve">4. </w:t>
      </w:r>
      <w:r>
        <w:rPr>
          <w:rFonts w:ascii="Calibri" w:hAnsi="Calibri"/>
          <w:b w:val="0"/>
          <w:color w:val="3A4A28"/>
          <w:sz w:val="17"/>
        </w:rPr>
        <w:t>Scholar Rock Glassdoor Reviews (22 reviews), Glassdoor.com,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Scholar Rock Employee Review — 'Great science, evolving company', Glassdoor.com,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