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SSL</w:t>
      </w:r>
      <w:r>
        <w:rPr>
          <w:rFonts w:ascii="Calibri" w:hAnsi="Calibri"/>
          <w:b/>
          <w:color w:val="1A2010"/>
          <w:sz w:val="40"/>
        </w:rPr>
        <w:t xml:space="preserve">  Sasol Ltd.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2026-04-14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Basic Materials · Specialty Chemicals · NYSE · South Africa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Sasol is an integrated energy and chemicals company headquartered in Sandton, South Africa. It operates coal-to-liquids and gas-to-liquids synfuels facilities at Secunda and Mozambique, and produces specialty chemicals globally. It is Africa's largest private-sector GHG emitter.</w:t>
      </w:r>
    </w:p>
    <w:p>
      <w:r>
        <w:rPr>
          <w:rFonts w:ascii="Calibri" w:hAnsi="Calibri"/>
          <w:b/>
          <w:color w:val="6E8450"/>
          <w:sz w:val="18"/>
        </w:rPr>
        <w:t>28,000 Employees · https://www.sasol.com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Proprietary Fischer-Tropsch synfuels technology is historically significant but hasn't been materially extended in the last 5 years. [1] 'Future Sasol' strategy aims for net-zero by 2050 with a 30% GHG reduction by 2030 - genuine but mostly through efficiency gains (~5% reduction achieved by 2023). [3] No AI deployment evidence. Meaningful regional market share in South Africa fuels but not a defining global category leader. Pipeline visibility limited to operational recovery and sustainable aviation fuel aspirations. R&amp;D modest. Score: track record 1 + AI 0 + share 1 + pipeline 1 + R&amp;D 0 = 3.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Purpose 'Innovating for a better world' with triple-bottom-line of People, Planet, Profit is specific and thoughtful (3 points). [3] As a major South African employer, Sasol has long-standing community investment including education and local economic development programs (1 point). No retention data surfaced; CEO Simon Baloyi is a 22-year internal Sasol veteran appointed April 2024 which is a positive cultural signal but insider buying is neutral. Score: 3 + 1 + 0 + 0 = 4.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Weak quantitative profile: ROE only 2.5% (below 15%), profit margin 0.97% (well below 20%), D/E 70% (at target), Revenue growth YoY 0.2% (below 10%), 5yr CAGR near zero. Forward P/E 5.75 is attractive (target &lt;20). Trailing P/E 56 reflects depressed earnings (H1 FY2026 EPS -89% to -99% YoY per company guidance). [1] Liquidity passes ($12.98 x 2.82M = $36.6M).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Sasol articulates a long-horizon Future Sasol decarbonization strategy but execution is hampered by balance sheet stress and macro headwinds; mixed signals overall.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'Innovating for a better world' with triple-bottom-line framing is a genuine cause; 2050 net zero ambition has resource commitment behind it, though credibility is contested given coal-based feedstock legacy. [3] 1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Simon Baloyi is a 22-year internal veteran appointed April 2024 - continuity signal. [2] Large unionized workforce with labor risks typical of SA mining/industrial. 1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Competitive commentary is supply/demand focused, no evidence of learning-oriented rival framing. 0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Sasol has evolved from purely synfuels to a global chemicals business and is now attempting a decarbonization pivot. [3] Incremental, not transformative. 1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Committing to 30% GHG reduction by 2030 from a coal-to-liquids base is a costly commitment; however, repeated guidance cuts suggest short-term firefighting dominates. [1] 1 point.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Sasol trades at an optically cheap 5.75x forward P/E with a $5.75B+ market cap on $13.9B TTM revenue, offering deep-value exposure to South African energy, Secunda synfuels, and global specialty chemicals. [1] CEO Simon Baloyi's April 2024 appointment (22-year internal tenure) brings operational continuity and a Capital Markets Day roadmap for Future Sasol decarbonization and energy system contribution. Secunda production improved 9% YoY in the most recent quarter on better coal quality.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Bear case dominates: H1 FY2026 EPS is guided at R0.10-R0.80 versus R7.22 prior year - an 89%-99% decline driven by oil prices and ZAR currency headwinds. [1] Adjusted EBITDA is guided at R19-23B vs R24B prior. ROE of 2.5% and profit margin of ~1% mean Sasol is barely earning its cost of capital. D/E of 70% sits at the IOWN target but remains high absolute leverage for a commodity-cyclical business. The 2050 net-zero pivot from a coal-based feedstock base is capital intensive and could strand legacy assets.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Oil price recovery and ZAR stabilization lifting H2 FY2026 EPS back toward normalized ~R14 levels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Secunda operational improvements continuing (+9% YoY production) and delivering unit cost improvements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Future Sasol Capital Markets Day execution and Scope 1/2 GHG reduction milestones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Further EPS downside from oil price decline or ZAR weakness - already guided down 89-99% YoY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South African Eskom electricity, logistics (Transnet rail), and regulatory risk compressing margins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Stranded-asset risk as 2050 net-zero pivot accelerates while legacy coal-to-liquids remains the revenue base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Sasol's core business - coal-to-liquids and gas-to-liquids fuel production, petrochemicals, and coal mining - is physical-industrial infrastructure that AI cannot displace. [2] AI may improve operational reliability at Secunda but analysts are focused on commodity prices, currency, and decarbonization, not AI substitution risk. No meaningful AI revenue. Score: protection 8 + opportunity 0 = 8.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Sasol H1 FY2026 results and guidance, Moneyweb,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Simon Baloyi CEO appointment, Sasol.com, 2024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Sasol ESG Climate Action page, sasol.com/esg,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