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SSNC</w:t>
      </w:r>
      <w:r>
        <w:rPr>
          <w:rFonts w:ascii="Calibri" w:hAnsi="Calibri"/>
          <w:b/>
          <w:color w:val="1A2010"/>
          <w:sz w:val="40"/>
        </w:rPr>
        <w:t xml:space="preserve">  SS&amp;C Technologies Holdings, Inc.</w:t>
      </w:r>
    </w:p>
    <w:p>
      <w:pPr>
        <w:spacing w:after="120"/>
      </w:pPr>
      <w:r>
        <w:rPr>
          <w:rFonts w:ascii="Calibri" w:hAnsi="Calibri"/>
          <w:b/>
          <w:color w:val="6E8450"/>
          <w:sz w:val="18"/>
        </w:rPr>
        <w:t>DIVIDEND SLEEVE · 2026-04-01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SS&amp;C Technologies provides software products and software-enabled services to the financial services and healthcare industries. The company offers fund administration, transfer agency, portfolio management, trading, banking/lending, and compliance solutions. SS&amp;C serves alternative and traditional asset managers, insurance companies, banks, and healthcare organizations worldwide.</w:t>
      </w:r>
    </w:p>
    <w:p>
      <w:r>
        <w:rPr>
          <w:rFonts w:ascii="Calibri" w:hAnsi="Calibri"/>
          <w:b/>
          <w:color w:val="6E8450"/>
          <w:sz w:val="18"/>
        </w:rPr>
        <w:t>28,800 Employees · https://www.ssctech.com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SS&amp;C has successfully executed a serial acquisition strategy that transformed the company from a niche financial software provider into a comprehensive platform — notable acquisitions include DST Systems ($5.4B), GlobeOp, and most recently Calastone, while achieving 97% client retention that validates the integration execution [1]. FY2025 revenue grew 8.1% to $6.27B with record adjusted diluted EPS. AI Deployment (2/2): SS&amp;C has deployed its proprietary AI engine 'Link' for automated document redaction, categorization, and PII identification across fund administration workflows [2]. The company practices a 'customer zero' approach — testing AI internally before client deployment — and has integrated agentic AI into fund administration and transfer agency platforms for predictive analytics, compliance, and portfolio management. CEO Stone calls this the 'Ops-A.I. Revolution' [2]. Market Share (2/2): SS&amp;C is the dominant provider of fund administration software and services globally, with leading positions in transfer agency, alternative investment operations, and financial services compliance — processing trillions of dollars in assets across 18,000+ clients [1]. Pipeline (1/2): FY2026 guidance of $6.14-6.654B with ~5.1% organic growth, targeting 40% EBITDA margin by Q4 2026, and adjusted EPS of $6.70-7.02 (~12% growth) [1]. AI automation and Calastone integration provide clear growth vectors, but organic growth remains mid-single digit. R&amp;D Intensity (1/1): Capital expenditures at 4.4-4.8% of revenue for 2026 are above industry average for financial services software, reflecting sustained investment in platform modernization and AI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SS&amp;C's purpose — delivering technology solutions that help financial services and healthcare firms operate more efficiently — is clear and industry-specific but not deeply inspirational or transformative beyond operational excellence. The mission identifies what the company does but doesn't articulate a broader vision of a better future. Community Impact (0/2): No evidence of distinctive charitable programs, corporate foundation, or community investment initiatives. The company's ESG report exists but no specific philanthropic commitments or dollar amounts were found in public materials. Employee Retention (1/2): Bill Stone's 40-year tenure as founder-CEO provides exceptional leadership continuity, and the 97% client retention rate suggests organizational stability [1]. Strategic priorities for 2026 include 'building trust by empowering people,' and the company has approximately 28,800 employees, but no specific employee turnover or retention metrics were found. Insider Buying (0/2): No specific evidence of meaningful net insider buying by CEO Stone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SS&amp;C's financial profile combines strong cash generation with acquisition-driven leverage. D/E of 110.8% reflects the serial acquisition strategy — $7.5B gross debt against $462M cash — though net leverage of 2.8x trailing EBITDA is manageable for a recurring-revenue software business [1]. ROE of 11.8% is below the 15% target, depressed by goodwill-heavy balance sheet from acquisitions. Revenue grew 8.1% YoY to $6.27B with 5.3% organic growth in Q4 and 4.8% for the full year [1]. Forward P/E of 9.4x is remarkably cheap for a financial technology company — less than half the 20x target — suggesting significant market skepticism about AI disruption risk. Profit margin of 12.7% is improving as the company targets 50bps annual EBITDA margin expansion toward 40% [1]. Operating cash flow of $1.74B (up 25.7%) with &gt;100% cash conversion demonstrates earnings quality. Dividend profile: 8 consecutive years paid, 7 consecutive years of growth, payout ratio of 33%, and 5yr dividend growth CAGR of approximately 11.0% [5]. Liquidity cleared at $161M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SS&amp;C under founder-CEO Bill Stone has demonstrated remarkable long-term commitment over 40 years, building a financial technology platform through disciplined acquisition and organic investment. The company's 'never rest, good enough is never good enough' culture reflects infinite game ambition. However, the acquisition-driven growth model, lack of a transformative Just Cause beyond operational excellence, and finite competitive language around market dominance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SS&amp;C's purpose — building technology for financial services and healthcare — is genuine and has been consistently pursued for 40 years under founder Bill Stone (2/3 pts). Stone started the company with $20,000 from his basement and has maintained strategic focus through four decades of market cycles, technology transitions, and competitive shifts [2]. The three 2026 strategic priorities (client focus, empowering people, continuous innovation) are authentic to the company's DNA. However, the cause is ultimately about building a better software company rather than envisioning a transformative future state — it's operational excellence, not a Just Cause in Sinek's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SS&amp;C's culture is results-oriented and execution-focused, with core values emphasizing accountability and relentless innovation (1/2 pts). The 40-year founder-CEO tenure provides unusual leadership stability, and Rahul Kanwar's elevation to President signals planned succession depth [2]. The 2026 strategic priority of 'building trust by empowering people' suggests awareness of organizational trust as a competitive advantage. However, with 28,800 employees across global operations, no specific employee satisfaction or retention data was found to confirm high-trust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SS&amp;C's competitive language tends toward finite game thinking — CEO Stone describes the company's 'deep and wide moat' and emphasizes market dominance rather than learning from competitors (0/1 pt). The serial acquisition strategy, while effective, is more about capturing market share than improving in response to worthy rivals. No evidence of management explicitly acknowledging competitors' strengths as motivation for self-improvement was found in earnings commentary or public statements.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SS&amp;C has evolved from a niche portfolio accounting software company into a comprehensive financial services platform through strategic acquisitions (DST Systems, GlobeOp, Advent, Calastone) and organic investment in AI capabilities (1/2 pts) [1]. The expansion from software licenses to software-enabled services (fund administration, transfer agency) represents a meaningful business model evolution. The current pivot toward agentic AI and automation represents the next potential transformation. However, these changes have been incremental rather than transformative — SS&amp;C has stayed within financial services technology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Bill Stone has consistently made large, leveraged acquisitions that required conviction — DST Systems for $5.4B, taking on significant debt to scale the platform (1/2 pts). The 'customer zero' approach to AI investment, testing internally before client deployment, shows willingness to invest ahead of revenue. Maintaining $7.5B in debt to fund growth while building toward 40% EBITDA margins demonstrates capital allocation courage. However, the acquisition-driven model is more financial engineering than strategic courage — it's disciplined but not paradigm-challenging.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SS&amp;C Technologies is a dominant financial services software platform trading at a deeply discounted 9.4x forward P/E — less than half the sector average — while delivering record results: FY2025 revenue of $6.27B (up 8.1%), record adjusted diluted EPS of $1.69 in Q4 (up 18.2%), and operating cash flow of $1.74B (up 25.7%) [1]. The 97% client retention rate and deep integration into mission-critical fund administration, transfer agency, and compliance workflows create high switching costs. FY2026 guidance of $6.70-7.02 adjusted EPS (~12% growth) with targeted 40% EBITDA margin by Q4 2026 and operating cash flow of $1.71-1.81B demonstrates improving profitability [1]. The AI strategy is credible — the proprietary Link AI engine and 'customer zero' approach to agentic AI, combined with CEO Stone's 40-year track record of disciplined execution, position SS&amp;C to benefit from AI rather than be disrupted by it [2].</w:t>
      </w:r>
    </w:p>
    <w:p>
      <w:pPr>
        <w:spacing w:after="120"/>
      </w:pPr>
      <w:r>
        <w:rPr>
          <w:rFonts w:ascii="Calibri" w:hAnsi="Calibri"/>
          <w:b w:val="0"/>
          <w:color w:val="3A4A28"/>
          <w:sz w:val="20"/>
        </w:rPr>
        <w:t>The bear case centers on AI disruption risk and leverage. Morgan Stanley reduced its price target to $86 and maintains 'Equal Weight,' explicitly citing the 'AI risk narrative' as weighing on the stock — the concern that generative AI could automate document processing, data reconciliation, and reporting workflows that SS&amp;C currently provides as high-margin services [2]. D/E of 111% reflects $7.5B in gross debt from serial acquisitions, limiting financial flexibility and creating interest rate sensitivity. ROE of 11.8% is below the 15% target, depressed by the goodwill-heavy balance sheet. Organic revenue growth of 4.8% for FY2025 is modest for a technology company and relies on mid-single-digit price increases and volume growth rather than transformative new products. GAAP EPS declined 22.1% YoY, creating a gap between adjusted and GAAP profitability that raises earnings quality questions. The dividend yield of 1.6% with only 8 years of payment history is shorter than typical dividend-focused holdings. Integration risk from the Calastone acquisition and cross-border data compliance challenges add execution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margin expansion toward the 40% target by Q4 2026, driven by AI-powered automation reducing operating costs and operating leverage on recurring revenue [1]</w:t>
      </w:r>
    </w:p>
    <w:p>
      <w:pPr>
        <w:spacing w:before="40" w:after="40"/>
        <w:ind w:left="283"/>
      </w:pPr>
      <w:r>
        <w:rPr>
          <w:rFonts w:ascii="Calibri" w:hAnsi="Calibri"/>
          <w:b/>
          <w:color w:val="4A6B25"/>
          <w:sz w:val="20"/>
        </w:rPr>
        <w:t xml:space="preserve">2. </w:t>
      </w:r>
      <w:r>
        <w:rPr>
          <w:rFonts w:ascii="Calibri" w:hAnsi="Calibri"/>
          <w:b w:val="0"/>
          <w:color w:val="3A4A28"/>
          <w:sz w:val="20"/>
        </w:rPr>
        <w:t>Agentic AI deployment through the Link platform and 'customer zero' approach, potentially converting the AI disruption narrative from headwind to tailwind as SS&amp;C demonstrates AI-driven productivity gains to clients [2]</w:t>
      </w:r>
    </w:p>
    <w:p>
      <w:pPr>
        <w:spacing w:before="40" w:after="40"/>
        <w:ind w:left="283"/>
      </w:pPr>
      <w:r>
        <w:rPr>
          <w:rFonts w:ascii="Calibri" w:hAnsi="Calibri"/>
          <w:b/>
          <w:color w:val="4A6B25"/>
          <w:sz w:val="20"/>
        </w:rPr>
        <w:t xml:space="preserve">3. </w:t>
      </w:r>
      <w:r>
        <w:rPr>
          <w:rFonts w:ascii="Calibri" w:hAnsi="Calibri"/>
          <w:b w:val="0"/>
          <w:color w:val="3A4A28"/>
          <w:sz w:val="20"/>
        </w:rPr>
        <w:t>Continued cash generation excellence — $1.71-1.81B operating cash flow in 2026 at &gt;100% cash conversion supports deleveraging, dividend growth, and opportunistic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narrative — Morgan Stanley and analysts flagging that generative AI could automate document processing and reporting workflows, potentially compressing SS&amp;C's service margins over time [2]</w:t>
      </w:r>
    </w:p>
    <w:p>
      <w:pPr>
        <w:spacing w:before="40" w:after="40"/>
        <w:ind w:left="283"/>
      </w:pPr>
      <w:r>
        <w:rPr>
          <w:rFonts w:ascii="Calibri" w:hAnsi="Calibri"/>
          <w:b/>
          <w:color w:val="4A6B25"/>
          <w:sz w:val="20"/>
        </w:rPr>
        <w:t xml:space="preserve">2. </w:t>
      </w:r>
      <w:r>
        <w:rPr>
          <w:rFonts w:ascii="Calibri" w:hAnsi="Calibri"/>
          <w:b w:val="0"/>
          <w:color w:val="3A4A28"/>
          <w:sz w:val="20"/>
        </w:rPr>
        <w:t>Leverage and integration risk — $7.5B gross debt (2.8x net leverage) from serial acquisitions, with Calastone integration adding execution risk and cross-border compliance complexity [1]</w:t>
      </w:r>
    </w:p>
    <w:p>
      <w:pPr>
        <w:spacing w:before="40" w:after="40"/>
        <w:ind w:left="283"/>
      </w:pPr>
      <w:r>
        <w:rPr>
          <w:rFonts w:ascii="Calibri" w:hAnsi="Calibri"/>
          <w:b/>
          <w:color w:val="4A6B25"/>
          <w:sz w:val="20"/>
        </w:rPr>
        <w:t xml:space="preserve">3. </w:t>
      </w:r>
      <w:r>
        <w:rPr>
          <w:rFonts w:ascii="Calibri" w:hAnsi="Calibri"/>
          <w:b w:val="0"/>
          <w:color w:val="3A4A28"/>
          <w:sz w:val="20"/>
        </w:rPr>
        <w:t>Organic growth deceleration — FY2025 organic growth of 4.8% is modest for a technology company, and reliance on mid-single-digit price increases may face pushback as clients adopt AI alternatives for commoditized workflows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SS&amp;C's core business is deeply embedded in mission-critical financial services workflows — fund administration, transfer agency, compliance reporting — with high switching costs and regulatory requirements that protect against easy displacement [2]. The 97% client retention rate evidences deep operational integration. However, Morgan Stanley reduced its price target in February 2026 and noted that 'AI risk narrative continues to weigh on the stock,' acknowledging that generative AI could potentially automate some of the data processing and reporting workflows that SS&amp;C currently provides as services [2]. The company's deep domain expertise and regulatory knowledge create meaningful moats, but portions of the business (document processing, data reconciliation) are theoretically automatable. CEO Stone's proactive AI investment ('Ops-A.I. Revolution') is the right strategic response. AI Opportunity (1/1): SS&amp;C generates AI-related revenue through its Link AI engine (document automation), agentic AI in fund administration, and AI-powered compliance and analytics tools. The company also offers ESG reporting solutions powered by data analytics, and its AI survey of 1,650 enterprise leaders positions SS&amp;C as a thought leader in financial services AI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SS&amp;C Technologies Q4 2025 / FY2025 Earnings Release — record $1,654.6M adjusted revenue (+8.1%), $1.69 adjusted EPS (+18.2%), FY2026 guidance $6.70-7.02 adj EPS, February 2026</w:t>
      </w:r>
    </w:p>
    <w:p>
      <w:pPr>
        <w:spacing w:before="20" w:after="20"/>
        <w:ind w:left="170"/>
      </w:pPr>
      <w:r>
        <w:rPr>
          <w:rFonts w:ascii="Calibri" w:hAnsi="Calibri"/>
          <w:b/>
          <w:color w:val="4A6B25"/>
          <w:sz w:val="15"/>
        </w:rPr>
        <w:t xml:space="preserve">2. </w:t>
      </w:r>
      <w:r>
        <w:rPr>
          <w:rFonts w:ascii="Calibri" w:hAnsi="Calibri"/>
          <w:b w:val="0"/>
          <w:color w:val="3A4A28"/>
          <w:sz w:val="17"/>
        </w:rPr>
        <w:t>SS&amp;C Technologies AI strategy — CEO Bill Stone 'Ops-A.I. Revolution,' Link AI engine, agentic AI deployment, 'customer zero' approach, Morgan Stanley AI risk assessment, 2025-2026</w:t>
      </w:r>
    </w:p>
    <w:p>
      <w:pPr>
        <w:spacing w:before="20" w:after="20"/>
        <w:ind w:left="170"/>
      </w:pPr>
      <w:r>
        <w:rPr>
          <w:rFonts w:ascii="Calibri" w:hAnsi="Calibri"/>
          <w:b/>
          <w:color w:val="4A6B25"/>
          <w:sz w:val="15"/>
        </w:rPr>
        <w:t xml:space="preserve">3. </w:t>
      </w:r>
      <w:r>
        <w:rPr>
          <w:rFonts w:ascii="Calibri" w:hAnsi="Calibri"/>
          <w:b w:val="0"/>
          <w:color w:val="3A4A28"/>
          <w:sz w:val="17"/>
        </w:rPr>
        <w:t>SS&amp;C Technologies ESG — Sustainalytics Average management rating, ESG reporting solutions platform for asset managers, environmental and governance disclosures</w:t>
      </w:r>
    </w:p>
    <w:p>
      <w:pPr>
        <w:spacing w:before="20" w:after="20"/>
        <w:ind w:left="170"/>
      </w:pPr>
      <w:r>
        <w:rPr>
          <w:rFonts w:ascii="Calibri" w:hAnsi="Calibri"/>
          <w:b/>
          <w:color w:val="4A6B25"/>
          <w:sz w:val="15"/>
        </w:rPr>
        <w:t xml:space="preserve">4. </w:t>
      </w:r>
      <w:r>
        <w:rPr>
          <w:rFonts w:ascii="Calibri" w:hAnsi="Calibri"/>
          <w:b w:val="0"/>
          <w:color w:val="3A4A28"/>
          <w:sz w:val="17"/>
        </w:rPr>
        <w:t>SS&amp;C Technologies 40th anniversary — founder Bill Stone leadership history, corporate culture, strategic priorities for 2026 (client focus, trust, innovation)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SSNC (SS&amp;C Technologies),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