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SSRM</w:t>
      </w:r>
      <w:r>
        <w:rPr>
          <w:rFonts w:ascii="Calibri" w:hAnsi="Calibri"/>
          <w:b/>
          <w:color w:val="1A2010"/>
          <w:sz w:val="40"/>
        </w:rPr>
        <w:t xml:space="preserve">  SSR Mining Inc.</w:t>
      </w:r>
    </w:p>
    <w:p>
      <w:pPr>
        <w:spacing w:after="120"/>
      </w:pPr>
      <w:r>
        <w:rPr>
          <w:rFonts w:ascii="Calibri" w:hAnsi="Calibri"/>
          <w:b/>
          <w:color w:val="6E8450"/>
          <w:sz w:val="18"/>
        </w:rPr>
        <w:t>GROWTH SLEEVE · 2026-04-02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NASDAQ · United States</w:t>
      </w:r>
    </w:p>
    <w:p>
      <w:pPr>
        <w:spacing w:after="80"/>
      </w:pPr>
      <w:r>
        <w:rPr>
          <w:rFonts w:ascii="Calibri" w:hAnsi="Calibri"/>
          <w:b w:val="0"/>
          <w:color w:val="3A4A28"/>
          <w:sz w:val="20"/>
        </w:rPr>
        <w:t>SSR Mining is a precious metals mining company with operations in the United States, Canada, Argentina, and formerly Turkey. The company operates the Marigold gold mine in Nevada, the Seabee gold operation in Saskatchewan, and the Puna silver-lead-zinc operation in Argentina. SSR Mining recently sold its 80% stake in the Copler mine in Turkey for $1.5B following a fatal heap leach pad failure in 2024.</w:t>
      </w:r>
    </w:p>
    <w:p>
      <w:r>
        <w:rPr>
          <w:rFonts w:ascii="Calibri" w:hAnsi="Calibri"/>
          <w:b/>
          <w:color w:val="6E8450"/>
          <w:sz w:val="18"/>
        </w:rPr>
        <w:t>2,900 Employees · https://www.ssrmining.com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SSR Mining's most significant action in the last two years was the $1.5B divestiture of Copler following the fatal 2024 heap leach failure — a crisis response rather than an innovation [3]. Year-end 2025 mineral reserves rose to 11M gold-equivalent ounces, nearly 40% higher than the prior year, reflecting successful exploration [1]. AI Deployment (0/2): No evidence of AI-powered products or measurable AI-driven operational improvements. The broader mining industry is exploring AI for geological modeling and autonomous operations, but SSR Mining has not disclosed specific AI initiatives [2]. Market Share (1/2): SSR Mining operates quality assets — Marigold is a well-run Nevada heap leach operation, and Seabee produces high-grade underground gold — but the company is a mid-tier miner without category leadership in any segment [1]. Pipeline (1/2): The company guided 450,000-535,000 gold-equivalent ounces for 2026, and the Copler sale proceeds provide $1.5B for growth acquisitions, though no specific pipeline projects have been announced [1]. R&amp;D Intensity (0/1): Mining companies generally have minimal R&amp;D spend; SSR Mining's exploration budget is standard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SSR Mining's stated purpose is generic — focused on creating value through responsible mining and operational excellence, interchangeable with virtually any mining peer. Community Impact (1/2): The company has ESG commitments and community programs at its mine sites, but the Copler disaster — nine workers killed in the February 2024 heap leach pad collapse — represents a catastrophic failure of its social license to operate [3]. Employee Retention (1/2): Glassdoor rating of 3.1/5 is below average, with employees citing 'ego battles,' 'territorial and micro managing leadership,' and only 42% expressing positive business outlook [2]. However, some reviewers praise career development and benefits. Insider Buying (0/2): Only stock awards (grants) visible in insider transactions — no open-market insider purchases by executives, suggesting neutral to negative insider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SSR Mining's financial profile is exceptionally strong following the Copler sale and gold price tailwinds. Forward P/E of 5.48x is deeply undervalued versus gold mining peers at 12-14x [1]. Revenue surged 61.4% YoY to $1.63B in FY2025 as operations recovered from the Copler shutdown, with profit margin of 24.3% [5]. D/E of 9.2% is excellent for a miner, reflecting the $1.5B Copler sale proceeds and minimal leverage [5]. ROE of 8.8% is below the 15% target but positive and improving. Analysts forecast EPS growth from $1.74 in 2025 to $4.07 in 2026 (131% increase) driven by gold prices and operational improvements [1]. Board approved $300M buyback program in February 2026 [1]. Liquidity floor easily cleared: 4.32M avg vol × $31.50 = $136M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SSR Mining operates with a largely finite mindset — optimizing for production volumes, cost per ounce, and shareholder returns rather than articulating a vision beyond commodity extraction. The Copler disaster exposed governance and safety culture gaps, and the subsequent $1.5B sale was a pragmatic exit rather than a values-driven decision. Leadership stability is adequate but uninspiring.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SSR Mining's purpose is generic responsible mining and value creation — indistinguishable from any peer in the gold mining sector [2]. There is no articulated vision of a better future that transcends commodity extraction. The company exists to mine gold profitably, which is a finite goal. Score: 1/3 weighted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Copler disaster — nine workers killed due to a 'deeply-rooted flaw' in heap leach pad design — represents a fundamental failure of safety culture and organizational trust [3]. Glassdoor reviews (3.1/5) describe 'ego battles,' 'territorial and micro managing leadership,' and 'unnecessary layers of approval' that slow decision-making [2]. Only 42% of employees have a positive business outlook. This is a low-trust environment by Sinek's standards. Score: 0/2 weighted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SSR Mining's competitive language is standard for the mining sector — focused on production costs, reserve growth, and operational metrics rather than learning from rivals. Management discussion centers on AISC relative to peers and production guidance, typical finite competitive framing [1]. Score: 0/1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$1.5B sale of Copler — SSR Mining's largest asset — and the strategic pivot to focus on North and South American operations demonstrates meaningful flexibility, even if crisis-driven rather than vision-driven [3]. The company's transformation from Silver Standard Resources (silver focus) to SSR Mining (gold focus) over the past decade shows willingness to evolve. Score: 1/2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Rod Antal's decision to sell Copler for $1.5B rather than attempting a costly restart showed pragmatic courage — walking away from the company's historically largest asset [3]. The $300M buyback authorization and reserve growth investment signal confidence in remaining assets [1]. However, the Copler incident itself raised questions about whether leadership had the courage to prioritize safety over production. Score: 1/2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SSR Mining is a compelling deep-value gold miner trading at 5.48x forward earnings versus peer multiples of 12-14x, offering potential 80-100% upside if the valuation gap closes [1]. The company generated $1.63B in FY2025 revenue (up 61.4% YoY) with 24.3% profit margins, holds minimal debt (D/E 9.2%), and sits on $1.5B in Copler sale proceeds that can fund acquisitions or buybacks [1][5]. Year-end mineral reserves of 11M gold-equivalent ounces (up 40%) provide strong reserve life. Analysts forecast EPS growth from $1.74 to $4.07 in 2026 (131% increase), and the $300M buyback authorization signals capital return commitment [1]. Gold prices above $2,000/oz provide a strong macro tailwind.</w:t>
      </w:r>
    </w:p>
    <w:p>
      <w:pPr>
        <w:spacing w:after="120"/>
      </w:pPr>
      <w:r>
        <w:rPr>
          <w:rFonts w:ascii="Calibri" w:hAnsi="Calibri"/>
          <w:b w:val="0"/>
          <w:color w:val="3A4A28"/>
          <w:sz w:val="20"/>
        </w:rPr>
        <w:t>The bear case centers on the Copler disaster's lasting impact and execution risk. Nine workers were killed in the February 2024 heap leach pad collapse, exposing fundamental safety culture failures and resulting in a $1.5B forced asset sale [3]. Without Copler, SSR Mining is a smaller, less diversified miner with production guidance of just 450,000-535,000 gold-equivalent ounces for 2026 [1]. The deep discount to peers may reflect legitimate concerns about management credibility post-Copler. Glassdoor reviews (3.1/5) and only 42% positive business outlook suggest cultural issues that could impair talent retention and operational execution [2]. The company must successfully redeploy the Copler proceeds into value-accretive acquisitions — capital allocation in mining is notoriously difficult, and overpaying for assets during a gold bull market is a real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Value-accretive deployment of $1.5B Copler sale proceeds into new mining assets, potentially transforming SSR Mining's production profile and reserve base [1]</w:t>
      </w:r>
    </w:p>
    <w:p>
      <w:pPr>
        <w:spacing w:before="40" w:after="40"/>
        <w:ind w:left="283"/>
      </w:pPr>
      <w:r>
        <w:rPr>
          <w:rFonts w:ascii="Calibri" w:hAnsi="Calibri"/>
          <w:b/>
          <w:color w:val="4A6B25"/>
          <w:sz w:val="20"/>
        </w:rPr>
        <w:t xml:space="preserve">2. </w:t>
      </w:r>
      <w:r>
        <w:rPr>
          <w:rFonts w:ascii="Calibri" w:hAnsi="Calibri"/>
          <w:b w:val="0"/>
          <w:color w:val="3A4A28"/>
          <w:sz w:val="20"/>
        </w:rPr>
        <w:t>Gold price strength above $2,000/oz driving analyst EPS estimates of $4.07 for 2026, a 131% increase over FY2025 [1]</w:t>
      </w:r>
    </w:p>
    <w:p>
      <w:pPr>
        <w:spacing w:before="40" w:after="40"/>
        <w:ind w:left="283"/>
      </w:pPr>
      <w:r>
        <w:rPr>
          <w:rFonts w:ascii="Calibri" w:hAnsi="Calibri"/>
          <w:b/>
          <w:color w:val="4A6B25"/>
          <w:sz w:val="20"/>
        </w:rPr>
        <w:t xml:space="preserve">3. </w:t>
      </w:r>
      <w:r>
        <w:rPr>
          <w:rFonts w:ascii="Calibri" w:hAnsi="Calibri"/>
          <w:b w:val="0"/>
          <w:color w:val="3A4A28"/>
          <w:sz w:val="20"/>
        </w:rPr>
        <w:t>$300M share buyback program at 5.48x forward earnings providing significant per-share value accretion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Post-Copler credibility deficit — the fatal 2024 heap leach pad collapse killed nine workers and exposed safety culture failures, potentially impairing management credibility with investors and regulators [3]</w:t>
      </w:r>
    </w:p>
    <w:p>
      <w:pPr>
        <w:spacing w:before="40" w:after="40"/>
        <w:ind w:left="283"/>
      </w:pPr>
      <w:r>
        <w:rPr>
          <w:rFonts w:ascii="Calibri" w:hAnsi="Calibri"/>
          <w:b/>
          <w:color w:val="4A6B25"/>
          <w:sz w:val="20"/>
        </w:rPr>
        <w:t xml:space="preserve">2. </w:t>
      </w:r>
      <w:r>
        <w:rPr>
          <w:rFonts w:ascii="Calibri" w:hAnsi="Calibri"/>
          <w:b w:val="0"/>
          <w:color w:val="3A4A28"/>
          <w:sz w:val="20"/>
        </w:rPr>
        <w:t>Capital redeployment risk — SSR Mining must find and execute value-accretive acquisitions with $1.5B in proceeds during a gold bull market where asset prices are elevated [1]</w:t>
      </w:r>
    </w:p>
    <w:p>
      <w:pPr>
        <w:spacing w:before="40" w:after="40"/>
        <w:ind w:left="283"/>
      </w:pPr>
      <w:r>
        <w:rPr>
          <w:rFonts w:ascii="Calibri" w:hAnsi="Calibri"/>
          <w:b/>
          <w:color w:val="4A6B25"/>
          <w:sz w:val="20"/>
        </w:rPr>
        <w:t xml:space="preserve">3. </w:t>
      </w:r>
      <w:r>
        <w:rPr>
          <w:rFonts w:ascii="Calibri" w:hAnsi="Calibri"/>
          <w:b w:val="0"/>
          <w:color w:val="3A4A28"/>
          <w:sz w:val="20"/>
        </w:rPr>
        <w:t>Smaller post-divestiture production base of 450,000-535,000 gold-equivalent ounces leaves limited margin for operational setbacks at remaining Marigold, Seabee, or Puna mines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a physical-world operation that AI structurally cannot displace — extracting gold from underground and open-pit mines requires heavy equipment, geological expertise, and physical infrastructure that no AI tool can substitute [2]. If anything, AI increases demand for precious metals through expanded electronics and data center infrastructure. The gold price itself is driven by macroeconomic factors (inflation hedging, central bank buying, geopolitical risk) that are entirely orthogonal to AI disruption. SSR Mining's core revenue streams face zero substitution risk from AI. AI Opportunity (0/1): SSR Mining has not disclosed any AI-powered products or services generating revenue. The company may use basic automation in operations, but no measurable AI revenue contribution is evident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SSR Mining FY2025 Results and 2026 Operating Guidance — $1.63B revenue, 450-535K oz guidance, $300M buyback, BusinessWire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SSR Mining Reviews (44 reviews, 3.1/5 rating), SSR Mining Leadership Team page, Craft.co executive profiles, S&amp;P Global AI in mining analysis</w:t>
      </w:r>
    </w:p>
    <w:p>
      <w:pPr>
        <w:spacing w:before="20" w:after="20"/>
        <w:ind w:left="170"/>
      </w:pPr>
      <w:r>
        <w:rPr>
          <w:rFonts w:ascii="Calibri" w:hAnsi="Calibri"/>
          <w:b/>
          <w:color w:val="4A6B25"/>
          <w:sz w:val="15"/>
        </w:rPr>
        <w:t xml:space="preserve">3. </w:t>
      </w:r>
      <w:r>
        <w:rPr>
          <w:rFonts w:ascii="Calibri" w:hAnsi="Calibri"/>
          <w:b w:val="0"/>
          <w:color w:val="3A4A28"/>
          <w:sz w:val="17"/>
        </w:rPr>
        <w:t>BusinessWire, Mining Journal, MINING.COM — Copler heap leach pad failure February 2024, CNI root cause investigation, $1.5B Copler sale to Cengiz Holding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SSRM insider transactions, stock awards only, no open-market purchases,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SSRM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