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SSYS</w:t>
      </w:r>
      <w:r>
        <w:rPr>
          <w:rFonts w:ascii="Calibri" w:hAnsi="Calibri"/>
          <w:b/>
          <w:color w:val="1A2010"/>
          <w:sz w:val="40"/>
        </w:rPr>
        <w:t xml:space="preserve">  Stratasys Ltd.</w:t>
      </w:r>
    </w:p>
    <w:p>
      <w:pPr>
        <w:spacing w:after="120"/>
      </w:pPr>
      <w:r>
        <w:rPr>
          <w:rFonts w:ascii="Calibri" w:hAnsi="Calibri"/>
          <w:b/>
          <w:color w:val="6E8450"/>
          <w:sz w:val="18"/>
        </w:rPr>
        <w:t>GROWTH SLEEVE · 2026-05-04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Stratasys provides connected polymer-based 3D printing solutions for industrial manufacturing, prototyping, and production. The company offers PolyJet, FDM, stereolithography, SAF, and Origin P3 printing systems along with GrabCAD software, consumable materials, and professional services. Stratasys serves aerospace, automotive, healthcare, dental, and consumer goods industries from its headquarters in Minnetonka, Minnesota.</w:t>
      </w:r>
    </w:p>
    <w:p>
      <w:r>
        <w:rPr>
          <w:rFonts w:ascii="Calibri" w:hAnsi="Calibri"/>
          <w:b/>
          <w:color w:val="6E8450"/>
          <w:sz w:val="18"/>
        </w:rPr>
        <w:t>1,757 Employees · https://www.stratasys.com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Stratasys has expanded its manufacturing revenue from 25% of total in 2020 to 37.5% in 2025, a meaningful shift from prototyping to production use cases [1]. However, overall revenue has declined from $651.5M (2022) to $551.1M (2025), and the company has not delivered a transformative product launch that opened a major new revenue stream. AI Deployment (1/2): GrabCAD Print Pro ships with AI-driven print optimization, delivering measurable improvements in print quality and throughput for industrial customers [2]. This is a real AI product generating revenue, not vaporware. Market Share (1/2): Stratasys is a major player in polymer 3D printing with strong positions in FDM and PolyJet, but faces intense competition from HP (Multi Jet Fusion), Desktop Metal, and Chinese entrants. Market share is stable but not dominant. Pipeline (1/2): 2026 guidance of $565-575M revenue with expanding aerospace and manufacturing partnerships shows pipeline visibility, though growth is modest at 2.5-4.3% [1]. R&amp;D Intensity (1/1): Stratasys maintains industry-leading R&amp;D spend across hardware, software, and materials science, integrating teams globally to deliver unified solutions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Stratasys positions itself as 'the first-choice partner for industrial production' and aims to disrupt the $13 trillion traditional manufacturing sector through additive solutions [2]. This is clear and specific but fundamentally describes a business strategy, not a deeper purpose that inspires sacrifice or transcends profit. Community Impact (1/2): The company aligns with UN Sustainable Development Goals, achieved ISO 14001 certification, implemented an Equal Parent Policy (17% increase in male parental leave uptake), and runs recycling/returns programs that reused 590 tons of products and components [3]. Employee Retention (0/2): Glassdoor rating of 3.5/5 with reviews describing a 'toxic culture' and ranking in the bottom 25% on Comparably for Executive Team Score among 1,001-5,000 employee companies [2]. Multiple reviews cite poor management and declining morale. Insider Buying (0/2): No evidence of meaningful net insider buying by CEO Yoav Zeif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Stratasys has a near-pristine balance sheet with D/E of just 3.1%, but the P&amp;L is deeply troubled. Revenue of $551.1M in 2025 declined 3.7% YoY and is down 15.4% from the 2022 peak of $651.5M [1]. GAAP net loss was $104.3M with profit margins at -18.9% and ROE at -12.8%. Gross margins of 43% are healthy for hardware but operating losses persist at -6.3% margins. Forward P/E of 52.4x on $0.17 forward EPS reflects razor-thin expected profitability. PEG ratio of 2.06 suggests the stock is overpriced relative to growth expectations. Management guided 2026 revenue of $565-575M (2.5-4.3% growth) with non-GAAP net income of $8-12.5M and adjusted EBITDA of $25-30M [1]. Positive operating cash flow is targeted for 2026 but remains unproven. Liquidity floor passes: 810K avg volume x $8.91 = $7.2M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Stratasys aspires to play an infinite game — disrupting $13T in traditional manufacturing — but the execution tells a finite story. Revenue has declined for three consecutive years, leadership faces cultural criticism, and the company spent 2023-2024 fending off a hostile takeover from Nano Dimension rather than advancing its cause. The pivot from prototyping to manufacturing shows strategic intent, but the company has not yet proven it can deliver sustained growth from this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Stratasys articulates a vision of disrupting $13 trillion in traditional manufacturing through additive technology — a genuinely big and forward-looking aspiration [2]. However, this reads more as a market opportunity than a Just Cause in Sinek's terms. The company has not demonstrated the multi-decade consistency required to validate this purpose; revenue has declined since 2022 and the vision has not been tested through crisis in a way that proves it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based on employee feedback. Glassdoor reviews describe a 'toxic culture' where leadership 'does little to develop their culture and people, but demands a lot' [2]. Stratasys ranks in the bottom 25% on Comparably for Executive Team Score among similarly-sized companies. The hostile takeover battle with Nano Dimension in 2023-2024 created additional organizational instability and distraction from core operations.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Stratasys demonstrates an improvement-oriented competitive mindset. CEO Zeif frames competition with HP, Desktop Metal, and others as motivation to expand capabilities rather than a war to win market share [2]. The company acknowledges competitors' strengths in specific technologies (HP in production volume, Carbon in speed) and uses these to drive its own multi-technology platform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Stratasys is executing a meaningful strategic pivot from prototyping (its historical core) toward manufacturing production — growing manufacturing revenue from 25% of total in 2020 to 37.5% in 2025 [1]. This represents genuine business model evolution, entering adjacent markets with different customer requirements and sales cycles. The multi-technology platform approach (FDM, PolyJet, SAF, SLA, P3) shows willingness to evolve rather than cling to legacy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Stratasys showed courage in rejecting Nano Dimension's hostile takeover bid in 2023-2024, choosing independence and long-term strategic control over a short-term premium [2]. Management has invested in expanding its technology portfolio (Origin P3, SAF) even while revenue was declining, prioritizing capability building over short-term earnings. However, the company has not made a truly painful sacrifice in service of its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Stratasys is the incumbent polymer 3D printing leader navigating a slow but meaningful pivot from prototyping to manufacturing production. Manufacturing revenue has grown from 25% of total in 2020 to 37.5% in 2025, and management guides 2026 revenue of $565-575M (2.5-4.3% growth) with targeted positive operating cash flow and non-GAAP net income of $8-12.5M [1]. The near-zero debt (D/E of 3.1%) provides a clean balance sheet for the transition. GrabCAD Print Pro with AI-driven optimization differentiates the software platform [2]. Gross margins of 43% and expanding aerospace partnerships signal margin recovery potential as production volumes grow. At $8.91/share ($768M market cap), the stock prices in a return to profitability that management has guided.</w:t>
      </w:r>
    </w:p>
    <w:p>
      <w:pPr>
        <w:spacing w:after="120"/>
      </w:pPr>
      <w:r>
        <w:rPr>
          <w:rFonts w:ascii="Calibri" w:hAnsi="Calibri"/>
          <w:b w:val="0"/>
          <w:color w:val="3A4A28"/>
          <w:sz w:val="20"/>
        </w:rPr>
        <w:t>The bear case is significant. Revenue has declined 15.4% from $651.5M (2022) to $551.1M (2025) with no evidence of accelerating demand [1]. GAAP losses of $104.3M in 2025 mean the company is still burning cash. Forward P/E of 52.4x and PEG of 2.06 are expensive for a company guiding only 2.5-4.3% revenue growth with thin non-GAAP profitability. The 3D printing industry faces structural headwinds: the technology has been 'about to disrupt manufacturing' for over a decade without achieving mass production scale outside aerospace and dental niches. Competition from HP (Multi Jet Fusion), Desktop Metal, and low-cost Chinese entrants is intensifying. Glassdoor reviews describing 'toxic culture' and bottom-quartile executive team scores raise execution risk during a critical transition period [2]. Tariff uncertainty and FX exposure add macro headwinds to an already fragile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Manufacturing revenue continuing to grow as a percentage of total, with aerospace and automotive partnerships expanding production use cases beyond prototyping [1]</w:t>
      </w:r>
    </w:p>
    <w:p>
      <w:pPr>
        <w:spacing w:before="40" w:after="40"/>
        <w:ind w:left="283"/>
      </w:pPr>
      <w:r>
        <w:rPr>
          <w:rFonts w:ascii="Calibri" w:hAnsi="Calibri"/>
          <w:b/>
          <w:color w:val="4A6B25"/>
          <w:sz w:val="20"/>
        </w:rPr>
        <w:t xml:space="preserve">2. </w:t>
      </w:r>
      <w:r>
        <w:rPr>
          <w:rFonts w:ascii="Calibri" w:hAnsi="Calibri"/>
          <w:b w:val="0"/>
          <w:color w:val="3A4A28"/>
          <w:sz w:val="20"/>
        </w:rPr>
        <w:t>Return to positive operating cash flow in 2026, with non-GAAP profitability of $8-12.5M validating the cost restructuring and pivot to higher-margin production applications [1]</w:t>
      </w:r>
    </w:p>
    <w:p>
      <w:pPr>
        <w:spacing w:before="40" w:after="40"/>
        <w:ind w:left="283"/>
      </w:pPr>
      <w:r>
        <w:rPr>
          <w:rFonts w:ascii="Calibri" w:hAnsi="Calibri"/>
          <w:b/>
          <w:color w:val="4A6B25"/>
          <w:sz w:val="20"/>
        </w:rPr>
        <w:t xml:space="preserve">3. </w:t>
      </w:r>
      <w:r>
        <w:rPr>
          <w:rFonts w:ascii="Calibri" w:hAnsi="Calibri"/>
          <w:b w:val="0"/>
          <w:color w:val="3A4A28"/>
          <w:sz w:val="20"/>
        </w:rPr>
        <w:t>GrabCAD Print Pro AI optimization driving software-attached revenue and differentiating Stratasys' multi-technology platform against single-technology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3D printing industry fails to achieve manufacturing scale — the $13T addressable market narrative has persisted for a decade without delivering sustained growth, and Stratasys' revenue trajectory reflects this unfulfilled promise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HP Multi Jet Fusion, Desktop Metal, and Chinese entrants compresses margins and share in the polymer printing market where Stratasys lacks a dominant moat</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(Glassdoor 'toxic culture' reviews, bottom 25% executive team score) undermines the organizational capability needed to execute the prototyping-to-manufacturing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Stratasys' core business is physical manufacturing hardware — 3D printers, materials, and post-processing systems that AI cannot substitute. The hardware and materials moat is defensible; AI cannot print physical parts. However, AI-powered generative design tools (from Autodesk, nTopology, and others) could reduce the iterative prototyping cycles that drive a significant portion of Stratasys' installed base utilization. The shift to production use cases (37.5% of revenue) mitigates this risk, as manufacturing applications require physical output regardless of design optimization. AI also represents a competitive threat from smarter print optimization by rivals. AI Opportunity (1/1): GrabCAD Print Pro with AI-driven print optimization is a shipping product that directly generates revenue and differentiates Stratasys' software ecosystem [2]. The company is actively monetizing AI within its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Stratasys Q4 and Full Year 2025 Earnings Release — $551.1M revenue, 2026 guidance of $565-575M, March 2026</w:t>
      </w:r>
    </w:p>
    <w:p>
      <w:pPr>
        <w:spacing w:before="20" w:after="20"/>
        <w:ind w:left="170"/>
      </w:pPr>
      <w:r>
        <w:rPr>
          <w:rFonts w:ascii="Calibri" w:hAnsi="Calibri"/>
          <w:b/>
          <w:color w:val="4A6B25"/>
          <w:sz w:val="15"/>
        </w:rPr>
        <w:t xml:space="preserve">2. </w:t>
      </w:r>
      <w:r>
        <w:rPr>
          <w:rFonts w:ascii="Calibri" w:hAnsi="Calibri"/>
          <w:b w:val="0"/>
          <w:color w:val="3A4A28"/>
          <w:sz w:val="17"/>
        </w:rPr>
        <w:t>Stratasys Investor Relations, Glassdoor, Comparably — CEO Yoav Zeif leadership, GrabCAD AI, culture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Stratasys ESG and Sustainability Report — ISO 14001, recycling programs, UN SDG alignment, EcoVadis 90th percentile,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SSYS financial data and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