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STAG</w:t>
      </w:r>
      <w:r>
        <w:rPr>
          <w:rFonts w:ascii="Calibri" w:hAnsi="Calibri"/>
          <w:b/>
          <w:color w:val="1A2010"/>
          <w:sz w:val="40"/>
        </w:rPr>
        <w:t xml:space="preserve">  STAG Industrial, Inc.</w:t>
      </w:r>
    </w:p>
    <w:p>
      <w:pPr>
        <w:spacing w:after="120"/>
      </w:pPr>
      <w:r>
        <w:rPr>
          <w:rFonts w:ascii="Calibri" w:hAnsi="Calibri"/>
          <w:b/>
          <w:color w:val="6E8450"/>
          <w:sz w:val="18"/>
        </w:rPr>
        <w:t>DIVIDEND SLEEVE · 2026-04-27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STAG Industrial is a real estate investment trust focused on the acquisition, development, ownership, and operation of single-tenant industrial properties throughout the United States. As of December 31, 2025, the portfolio consists of 601 buildings in 41 states with approximately 120.0 million rentable square feet, focused on logistics, e-commerce, and light manufacturing tenants.</w:t>
      </w:r>
    </w:p>
    <w:p>
      <w:r>
        <w:rPr>
          <w:rFonts w:ascii="Calibri" w:hAnsi="Calibri"/>
          <w:b/>
          <w:color w:val="6E8450"/>
          <w:sz w:val="18"/>
        </w:rPr>
        <w:t>93 Employees · https://www.stagindustrial.com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STAG has grown its portfolio to 601 buildings across 41 states through disciplined acquisition, adding properties at attractive cap rates, but the strategy is replication-based rather than transformative — no major business model pivots or product launches in the last 5 years [1]. AI Deployment (0/2): No evidence of AI-powered products or quantified AI-driven operational savings. STAG operates a traditional industrial REIT model with no public AI strategy or deployment [3]. Market Share (1/2): STAG is a meaningful player in the single-tenant industrial REIT space with $7.6B market cap, but competes against larger peers like Prologis and Duke Realty; the company is growing but not a category leader [1]. Pipeline (1/2): The promotion of Steven Kimball to COO signals a push toward vertical integration and operational scalability, with continued acquisition pipeline, but no specific next-gen developments with revenue visibility announced [3]. R&amp;D Intensity (1/1): STAG invests in property-level improvements and data-driven acquisition underwriting above typical REIT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STAG's mission focuses on providing high-quality industrial real estate solutions for single-tenant users — clear and functional but not distinctive or inspiring beyond its operational scope [3]. Community Impact (1/2): STAG maintains a Women's Forum Committee formed in 2017 to empower women in professional development and supports employee-focused community initiatives, though no large-scale philanthropic programs are publicly highlighted [3]. Employee Retention (1/2): With only 93 employees running a 601-building portfolio, STAG maintains a lean, efficient team; the company describes a collaborative, supportive, and fun culture, though specific retention metrics are not publicly available [3]. Insider Buying (1/2): Mixed insider activity — CEO Crooker sold $3.7M in shares and EVP Pinard sold $989K in the last 90 days following Q2 earnings beat, suggesting profit-taking rather than conviction [4]. Net insider selling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STAG's financial profile reflects a well-managed industrial REIT with strong revenue growth but REIT-typical constraints on traditional metrics. Revenue of $845M grew 10.8% YoY and 8.7% over 3 years, driven by healthy leasing activity and acquisitions [1][2]. Profit margin of 32.4% is solid for a REIT. D/E of 89.7% is moderate and well-managed for the asset-heavy REIT model [5]. However, Forward P/E of 44.2x (distorted by GAAP earnings for a REIT; P/FFO is more relevant), ROE of 7.8% (typical for equity REITs), and a payout ratio above 100% (102% of GAAP earnings, though covered by FFO/AFFO) create mechanical scoring headwinds [5]. Dividend history is strong at 16 consecutive years paid, but growth has been minimal — 0.7% 5-year CAGR reflects a near-flat dividend policy [5]. Liquidity floor easily cleared at $53.4M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STAG Industrial operates with a steady, long-horizon approach appropriate for a REIT — acquiring and holding industrial properties for stable cash generation. The 16-year uninterrupted dividend and measured portfolio expansion across 41 states demonstrate patient capital allocation. However, the company lacks a transformative Just Cause beyond 'own good industrial buildings,' and the near-flat dividend growth (0.7% CAGR) suggests prioritizing stability over compounding value for unitholders.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STAG's purpose is functional — provide high-quality single-tenant industrial space to American businesses — but it lacks the idealism and transformative vision Sinek requires for a true Just Cause [3]. The company exists to generate stable rental income, not to advance a vision of a better future. The promotion of Kimball to COO and evolution toward vertical integration suggest ambition beyond pure acquisition, but the cause remains operational.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STAG's 93-person team managing 601 buildings implies high efficiency and trust. The Women's Forum Committee, collaborative culture emphasis, and lean staffing model suggest employees are empowered and trusted [3]. Leadership continuity under CEO Crooker provides stability. However, no specific evidence of exceptional trust practices, psychological safety metrics, or employee survey data is publicly available.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 competes against Prologis, Duke Realty, and other industrial REITs but focuses on its niche — single-tenant, diversified industrial properties — rather than trying to match Prologis's scale or logistics dominance [1]. The company's language focuses on disciplined acquisition and operational excellence within its competitive positioning, not defeating rivals.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 has operated the same single-tenant industrial REIT model since its 2011 IPO with no transformative pivot or reinvention [1]. The company has evolved incrementally (expanding from secondary markets, growing from IPO to 601 buildings) but the core business model — acquire, own, lease industrial properties — has not changed. No evidence of willingness to abandon the current model in service of a larger purpose.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STAG has demonstrated discipline in maintaining monthly dividend payments through market cycles including COVID-19 disruption and rising interest rates [1]. The decision to focus on single-tenant properties when peers were pursuing larger multi-tenant portfolios showed conviction. However, the near-flat dividend growth and conservative posture suggest risk aversion over courageous long-term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STAG Industrial offers a reliable 4.0% monthly dividend yield backed by a 601-building portfolio of single-tenant industrial properties diversified across 41 states. Revenue grew 10.8% YoY to $845M in 2025 driven by healthy leasing activity and disciplined acquisitions, with Q4 core FFO beating estimates [1][2]. The industrial REIT sector benefits from secular tailwinds in e-commerce fulfillment, reshoring, and logistics demand that support continued rental rate growth and occupancy stability. At a $7.6B market cap, STAG provides diversified industrial real estate exposure with significantly lower entry cost than Prologis, making it an accessible way to own the physical infrastructure of the American economy.</w:t>
      </w:r>
    </w:p>
    <w:p>
      <w:pPr>
        <w:spacing w:after="120"/>
      </w:pPr>
      <w:r>
        <w:rPr>
          <w:rFonts w:ascii="Calibri" w:hAnsi="Calibri"/>
          <w:b w:val="0"/>
          <w:color w:val="3A4A28"/>
          <w:sz w:val="20"/>
        </w:rPr>
        <w:t>The bear case for STAG centers on stagnant dividend growth and REIT structural limitations. The dividend has grown just 0.7% annually over 5 years — barely visible against inflation — meaning real income erodes over time despite the attractive 4.0% headline yield [5]. Forward P/E of 44.2x (even accounting for REIT GAAP distortions) implies limited upside from current levels. The payout ratio exceeds 100% of GAAP earnings (though is covered by FFO), leaving no margin of safety if occupancy declines or cap rates expand in a higher-rate environment [5]. STAG's single-tenant focus creates binary occupancy risk — when a tenant leaves, the entire building goes vacant. Rising interest rates increase borrowing costs for acquisition-driven growth, potentially compressing the spread between cap rates and funding costs. ROE of 7.8% reflects the capital-intensive nature of the business and limits total return potential for equity 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demand growth from e-commerce fulfillment, reshoring of manufacturing, and logistics expansion driving occupancy and rental rate increases across STAG's 120M sq ft portfolio [1]</w:t>
      </w:r>
    </w:p>
    <w:p>
      <w:pPr>
        <w:spacing w:before="40" w:after="40"/>
        <w:ind w:left="283"/>
      </w:pPr>
      <w:r>
        <w:rPr>
          <w:rFonts w:ascii="Calibri" w:hAnsi="Calibri"/>
          <w:b/>
          <w:color w:val="4A6B25"/>
          <w:sz w:val="20"/>
        </w:rPr>
        <w:t xml:space="preserve">2. </w:t>
      </w:r>
      <w:r>
        <w:rPr>
          <w:rFonts w:ascii="Calibri" w:hAnsi="Calibri"/>
          <w:b w:val="0"/>
          <w:color w:val="3A4A28"/>
          <w:sz w:val="20"/>
        </w:rPr>
        <w:t>Operational scalability under new COO Steve Kimball's leadership, evolving STAG from pure acquisition REIT toward vertically integrated industrial infrastructure operator [3]</w:t>
      </w:r>
    </w:p>
    <w:p>
      <w:pPr>
        <w:spacing w:before="40" w:after="40"/>
        <w:ind w:left="283"/>
      </w:pPr>
      <w:r>
        <w:rPr>
          <w:rFonts w:ascii="Calibri" w:hAnsi="Calibri"/>
          <w:b/>
          <w:color w:val="4A6B25"/>
          <w:sz w:val="20"/>
        </w:rPr>
        <w:t xml:space="preserve">3. </w:t>
      </w:r>
      <w:r>
        <w:rPr>
          <w:rFonts w:ascii="Calibri" w:hAnsi="Calibri"/>
          <w:b w:val="0"/>
          <w:color w:val="3A4A28"/>
          <w:sz w:val="20"/>
        </w:rPr>
        <w:t>Monthly dividend distribution model providing consistent income to retail investors, with 16 consecutive years of payments supporting valuation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Near-zero dividend growth (0.7% 5-year CAGR) erodes real income for investors as inflation compounds, making STAG a yield trap if rental rate growth does not accelerate [5]</w:t>
      </w:r>
    </w:p>
    <w:p>
      <w:pPr>
        <w:spacing w:before="40" w:after="40"/>
        <w:ind w:left="283"/>
      </w:pPr>
      <w:r>
        <w:rPr>
          <w:rFonts w:ascii="Calibri" w:hAnsi="Calibri"/>
          <w:b/>
          <w:color w:val="4A6B25"/>
          <w:sz w:val="20"/>
        </w:rPr>
        <w:t xml:space="preserve">2. </w:t>
      </w:r>
      <w:r>
        <w:rPr>
          <w:rFonts w:ascii="Calibri" w:hAnsi="Calibri"/>
          <w:b w:val="0"/>
          <w:color w:val="3A4A28"/>
          <w:sz w:val="20"/>
        </w:rPr>
        <w:t>Single-tenant industrial lease structure creates binary vacancy risk — when a tenant vacates, revenue from that property drops to zero until re-leased [1]</w:t>
      </w:r>
    </w:p>
    <w:p>
      <w:pPr>
        <w:spacing w:before="40" w:after="40"/>
        <w:ind w:left="283"/>
      </w:pPr>
      <w:r>
        <w:rPr>
          <w:rFonts w:ascii="Calibri" w:hAnsi="Calibri"/>
          <w:b/>
          <w:color w:val="4A6B25"/>
          <w:sz w:val="20"/>
        </w:rPr>
        <w:t xml:space="preserve">3. </w:t>
      </w:r>
      <w:r>
        <w:rPr>
          <w:rFonts w:ascii="Calibri" w:hAnsi="Calibri"/>
          <w:b w:val="0"/>
          <w:color w:val="3A4A28"/>
          <w:sz w:val="20"/>
        </w:rPr>
        <w:t>Rising interest rate environment compresses acquisition spreads and increases financing costs, potentially slowing STAG's growth-by-acquisition model that drives revenue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STAG's core business — owning and leasing physical industrial buildings — is structurally immune to AI disruption. AI cannot replace warehouses, logistics facilities, or manufacturing space [1]. In fact, AI adoption by tenants (e-commerce fulfillment automation, data center expansion, reshoring of manufacturing) increases demand for industrial square footage. STAG's 601 single-tenant buildings across 41 states serve as essential physical infrastructure for the digital economy. Analysts see zero substitution risk for industrial REITs from AI [3]. AI Opportunity (0/1): STAG does not generate revenue from AI products or services; it is a passive beneficiary of AI-driven demand for industrial space rather than an active AI revenue generator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STAG Industrial Q4/FY2025 Earnings Release — $845M revenue, core FFO beat, healthy leasing activity,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STAG Industrial Q4 earnings beat amid healthy leasing activity, February 2026</w:t>
      </w:r>
    </w:p>
    <w:p>
      <w:pPr>
        <w:spacing w:before="20" w:after="20"/>
        <w:ind w:left="170"/>
      </w:pPr>
      <w:r>
        <w:rPr>
          <w:rFonts w:ascii="Calibri" w:hAnsi="Calibri"/>
          <w:b/>
          <w:color w:val="4A6B25"/>
          <w:sz w:val="15"/>
        </w:rPr>
        <w:t xml:space="preserve">3. </w:t>
      </w:r>
      <w:r>
        <w:rPr>
          <w:rFonts w:ascii="Calibri" w:hAnsi="Calibri"/>
          <w:b w:val="0"/>
          <w:color w:val="3A4A28"/>
          <w:sz w:val="17"/>
        </w:rPr>
        <w:t>STAG Industrial corporate website — Leadership, culture, Women's Forum Committee; AInvest — Leadership upgrade analysis, 2025-2026</w:t>
      </w:r>
    </w:p>
    <w:p>
      <w:pPr>
        <w:spacing w:before="20" w:after="20"/>
        <w:ind w:left="170"/>
      </w:pPr>
      <w:r>
        <w:rPr>
          <w:rFonts w:ascii="Calibri" w:hAnsi="Calibri"/>
          <w:b/>
          <w:color w:val="4A6B25"/>
          <w:sz w:val="15"/>
        </w:rPr>
        <w:t xml:space="preserve">4. </w:t>
      </w:r>
      <w:r>
        <w:rPr>
          <w:rFonts w:ascii="Calibri" w:hAnsi="Calibri"/>
          <w:b w:val="0"/>
          <w:color w:val="3A4A28"/>
          <w:sz w:val="17"/>
        </w:rPr>
        <w:t>Nasdaq — STAG insider activity; Simply Wall St — STAG insider selling analysis,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STAG,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