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STAK</w:t>
      </w:r>
      <w:r>
        <w:rPr>
          <w:rFonts w:ascii="Calibri" w:hAnsi="Calibri"/>
          <w:b/>
          <w:color w:val="1A2010"/>
          <w:sz w:val="40"/>
        </w:rPr>
        <w:t xml:space="preserve">  STAK Inc.</w:t>
      </w:r>
    </w:p>
    <w:p>
      <w:pPr>
        <w:spacing w:after="120"/>
      </w:pPr>
      <w:r>
        <w:rPr>
          <w:rFonts w:ascii="Calibri" w:hAnsi="Calibri"/>
          <w:b/>
          <w:color w:val="6E8450"/>
          <w:sz w:val="18"/>
        </w:rPr>
        <w:t>GROWTH SLEEVE · 2026-04-01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NASDAQ · China</w:t>
      </w:r>
    </w:p>
    <w:p>
      <w:pPr>
        <w:spacing w:after="80"/>
      </w:pPr>
      <w:r>
        <w:rPr>
          <w:rFonts w:ascii="Calibri" w:hAnsi="Calibri"/>
          <w:b w:val="0"/>
          <w:color w:val="3A4A28"/>
          <w:sz w:val="20"/>
        </w:rPr>
        <w:t>STAK Inc. is a Changzhou, China-based company specializing in the research, development, manufacturing, and sale of oilfield-specialized production and maintenance equipment including oil pumping trucks, well repair trucks, fracking trucks, and automation control modules. The company IPO'd on Nasdaq in February 2025 and operates primarily in China's domestic oilfield services market.</w:t>
      </w:r>
    </w:p>
    <w:p>
      <w:r>
        <w:rPr>
          <w:rFonts w:ascii="Calibri" w:hAnsi="Calibri"/>
          <w:b/>
          <w:color w:val="6E8450"/>
          <w:sz w:val="18"/>
        </w:rPr>
        <w:t>47 Employees · https://www.stakindustry.com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STAK pivoted from general automation to specialized oilfield equipment in 2020 under CEO Chuanbo Jiang, building revenue from zero to $24.9M in fiscal year 2025, and completed a Nasdaq IPO in February 2025 [1]. The pivot was successful but the company remains small and unproven at scale. AI Deployment (0/2): No AI-powered products or quantified AI savings; STAK's automation solutions involve industrial software and control modules but are not AI-driven [2]. Market Share (1/2): STAK was recognized by Jiangsu Province as a 'specialized and sophisticated SME focusing on innovation and differentiation' in 2024, suggesting niche credibility in China's oilfield equipment market, though global market share is negligible [2]. Pipeline (1/2): R&amp;D spending rose 52.7% in H1 FY2025 to $1.5M, and the company holds 79 patents/copyrights with 28 pending, signaling active product development for higher-margin specialized equipment [1]. R&amp;D Intensity (0/1): R&amp;D at $1.5M semi-annually on $24.9M revenue (~12%) is above average for Chinese oilfield equipment peers, but the absolute spending is tiny and represents early-stage investment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STAK's mission to 'become a strong provider in niche markets for specialized oilfield vehicles and equipment in China' is specific but purely commercial — it describes a business goal, not a vision of a better future [2]. Community Impact (0/2): The company claims to take 'seriously our responsibilities as a corporate citizen' but provides no specific charitable programs, community investment, or dollar amounts [2]. Employee Retention (0/2): With only 47 employees and no public retention data, evidence is insufficient. The company is very early-stage with limited organizational history [2]. Insider Buying (1/2): Insiders hold 91.9% of shares, indicating extreme founder alignment through equity ownership, though this reflects IPO structure rather than open-market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STAK's balance sheet is strained with $1.0M cash against $6.2M debt (D/E 47.7%) and a current ratio of 1.75 [1]. The company is unprofitable with a net loss of -$5.7M on $24.9M revenue (-22.9% net margin) and negative operating cash flow of -$2.9M [1]. Revenue growth was strong at 50.4% YoY with gross margins improving to 30.7%, but the absolute scale is micro ($24.9M revenue) [1]. The stock trades at $1.00, down 75% from its $4.00 IPO price, and received a Nasdaq minimum bid price compliance notice [1]. Quick ratio of 0.23 signals near-term liquidity pressure. The company completed a dilutive direct offering at $0.38 per unit. Liquidity floor cleared at $4.9M daily traded value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STAK is a very early-stage Chinese micro-cap that IPO'd barely one year ago. The company lacks the organizational history, leadership track record, and strategic depth needed to demonstrate infinite game characteristics. Its mission is purely commercial, its competitive approach is market-share focused, and it faces existential liquidity concerns that force short-term survival thinking over long-term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STAK's stated purpose — becoming a strong niche provider of oilfield equipment in China — is a business objective, not a Just Cause [2]. There is no articulated vision of a better future state that transcends the company's commercial interests. The company's website focuses on profitability and shareholder returns rather than a purpose worth sacrificing for. Score: 1/3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47 employees and no public data on organizational culture, retention, or employee sentiment, there is insufficient evidence to assess trust levels [2]. The company is too early-stage for meaningful organizational culture analysis. The founding team has been together since 2012 on automation projects, suggesting some core team stability, but the broader workforce is too small for assessment. Score: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STAK acknowledging competitors' strengths or framing competition as an opportunity to improve [2]. The company's positioning focuses on its own niche differentiation and cost advantages rather than learning from rivals. Score: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STAK demonstrated meaningful flexibility by pivoting from general automation to specialized oilfield equipment in 2020, and then pursuing a Nasdaq IPO to access international capital markets [2]. These pivots show adaptability. However, the company is too young and small to have faced a true existential test, and the recent dilutive offering and Nasdaq compliance issues suggest reactive survival moves rather than strategic flexibility. Score: 1/2 points.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leadership making costly long-term bets or sacrificing short-term results for future capability [2]. The Nasdaq IPO at $4.00 followed by a dilutive offering at $0.38 (90% lower) suggests capital raising driven by necessity rather than strategic courage. The company's small scale limits opportunities to demonstrate courageous leadership. Score: 0/2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STAK offers exposure to China's oilfield services recovery with strong revenue momentum — H1 FY2025 revenue grew 24% to $17.0M driven by 73% growth in equipment sales, with gross margins improving to 30.7% [1]. The company holds 79 patents and copyrights in specialized oilfield automation, was recognized by Jiangsu Province for innovation, and is expanding its product portfolio toward higher-margin specialized equipment. At 0.77x price-to-sales and 1.02x price-to-book, the valuation is undemanding if the growth trajectory continues. The $19.2M market cap offers significant upside potential if the company achieves profitability and international expansion [1].</w:t>
      </w:r>
    </w:p>
    <w:p>
      <w:pPr>
        <w:spacing w:after="120"/>
      </w:pPr>
      <w:r>
        <w:rPr>
          <w:rFonts w:ascii="Calibri" w:hAnsi="Calibri"/>
          <w:b w:val="0"/>
          <w:color w:val="3A4A28"/>
          <w:sz w:val="20"/>
        </w:rPr>
        <w:t>The bear case is severe for this micro-cap. STAK has a $19.2M market cap, only $1.0M cash, negative free cash flow of -$3.7M, and a quick ratio of 0.23, creating real going-concern risk [1]. The stock has collapsed 75% from its $4.00 IPO price, received a Nasdaq minimum bid price compliance notice, and completed a deeply dilutive offering at $0.38 per unit. The Cayman Islands holding structure with operations entirely in China introduces significant VIE/regulatory risk. With only 47 employees and $24.9M revenue, the company is extremely small-scale and dependent on China's domestic oilfield market. Short interest at 66% of float is extraordinarily high, reflecting intense bearish conviction. No analyst coverage exists for this name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Oilfield equipment revenue growing 73% in H1 FY2025 with expanding gross margins to 30.7%, driven by higher-margin specialized products [1]</w:t>
      </w:r>
    </w:p>
    <w:p>
      <w:pPr>
        <w:spacing w:before="40" w:after="40"/>
        <w:ind w:left="283"/>
      </w:pPr>
      <w:r>
        <w:rPr>
          <w:rFonts w:ascii="Calibri" w:hAnsi="Calibri"/>
          <w:b/>
          <w:color w:val="4A6B25"/>
          <w:sz w:val="20"/>
        </w:rPr>
        <w:t xml:space="preserve">2. </w:t>
      </w:r>
      <w:r>
        <w:rPr>
          <w:rFonts w:ascii="Calibri" w:hAnsi="Calibri"/>
          <w:b w:val="0"/>
          <w:color w:val="3A4A28"/>
          <w:sz w:val="20"/>
        </w:rPr>
        <w:t>79 patents and copyrights with 28 pending support product differentiation and potential expansion into adjacent oilfield automation markets [2]</w:t>
      </w:r>
    </w:p>
    <w:p>
      <w:pPr>
        <w:spacing w:before="40" w:after="40"/>
        <w:ind w:left="283"/>
      </w:pPr>
      <w:r>
        <w:rPr>
          <w:rFonts w:ascii="Calibri" w:hAnsi="Calibri"/>
          <w:b/>
          <w:color w:val="4A6B25"/>
          <w:sz w:val="20"/>
        </w:rPr>
        <w:t xml:space="preserve">3. </w:t>
      </w:r>
      <w:r>
        <w:rPr>
          <w:rFonts w:ascii="Calibri" w:hAnsi="Calibri"/>
          <w:b w:val="0"/>
          <w:color w:val="3A4A28"/>
          <w:sz w:val="20"/>
        </w:rPr>
        <w:t>Potential Nasdaq compliance resolution through share price recovery or reverse split could reduce delisting overhang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liquidity risk — only $1.0M cash with -$3.7M annual free cash flow, 0.23 quick ratio, and dependence on dilutive capital raises [1]</w:t>
      </w:r>
    </w:p>
    <w:p>
      <w:pPr>
        <w:spacing w:before="40" w:after="40"/>
        <w:ind w:left="283"/>
      </w:pPr>
      <w:r>
        <w:rPr>
          <w:rFonts w:ascii="Calibri" w:hAnsi="Calibri"/>
          <w:b/>
          <w:color w:val="4A6B25"/>
          <w:sz w:val="20"/>
        </w:rPr>
        <w:t xml:space="preserve">2. </w:t>
      </w:r>
      <w:r>
        <w:rPr>
          <w:rFonts w:ascii="Calibri" w:hAnsi="Calibri"/>
          <w:b w:val="0"/>
          <w:color w:val="3A4A28"/>
          <w:sz w:val="20"/>
        </w:rPr>
        <w:t>Nasdaq minimum bid price compliance notice creates delisting risk; stock has fallen 75% from IPO price [1]</w:t>
      </w:r>
    </w:p>
    <w:p>
      <w:pPr>
        <w:spacing w:before="40" w:after="40"/>
        <w:ind w:left="283"/>
      </w:pPr>
      <w:r>
        <w:rPr>
          <w:rFonts w:ascii="Calibri" w:hAnsi="Calibri"/>
          <w:b/>
          <w:color w:val="4A6B25"/>
          <w:sz w:val="20"/>
        </w:rPr>
        <w:t xml:space="preserve">3. </w:t>
      </w:r>
      <w:r>
        <w:rPr>
          <w:rFonts w:ascii="Calibri" w:hAnsi="Calibri"/>
          <w:b w:val="0"/>
          <w:color w:val="3A4A28"/>
          <w:sz w:val="20"/>
        </w:rPr>
        <w:t>Cayman Islands holding structure with 100% China operations introduces VIE regulatory risk, capital repatriation restrictions, and geopolitical exposure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STAK manufactures physical oilfield equipment — trucks, pumps, fracking equipment, and boilers — that operate in harsh field conditions and require mechanical engineering, not software. AI cannot substitute for the physical manufacturing, delivery, and operation of these heavy industrial products [2]. The oilfield services market requires hands-on installation, maintenance, and repair that AI cannot perform remotely. STAK's automation control modules could face some pressure from more advanced AI-powered industrial controls, but the core equipment business is structurally protected. AI Opportunity (0/1): STAK does not generate AI revenue; its automation solutions use traditional industrial software and control modules rather than AI-powered systems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N/A</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STAK Inc. H1 FY2025 Financial Results — $17.0M revenue, 24% growth, PRNewswire, April 2025</w:t>
      </w:r>
    </w:p>
    <w:p>
      <w:pPr>
        <w:spacing w:before="20" w:after="20"/>
        <w:ind w:left="170"/>
      </w:pPr>
      <w:r>
        <w:rPr>
          <w:rFonts w:ascii="Calibri" w:hAnsi="Calibri"/>
          <w:b/>
          <w:color w:val="4A6B25"/>
          <w:sz w:val="15"/>
        </w:rPr>
        <w:t xml:space="preserve">2. </w:t>
      </w:r>
      <w:r>
        <w:rPr>
          <w:rFonts w:ascii="Calibri" w:hAnsi="Calibri"/>
          <w:b w:val="0"/>
          <w:color w:val="3A4A28"/>
          <w:sz w:val="17"/>
        </w:rPr>
        <w:t>STAK Inc. company website and SEC Form 424B4 prospectus, Nasdaq listing February 2025</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STAK (STAK Inc.),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Stock Analysis — STAK Inc. overview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