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STEP</w:t>
      </w:r>
      <w:r>
        <w:rPr>
          <w:rFonts w:ascii="Calibri" w:hAnsi="Calibri"/>
          <w:b/>
          <w:color w:val="1A2010"/>
          <w:sz w:val="40"/>
        </w:rPr>
        <w:t xml:space="preserve">  StepStone Group Inc.</w:t>
      </w:r>
    </w:p>
    <w:p>
      <w:pPr>
        <w:spacing w:after="120"/>
      </w:pPr>
      <w:r>
        <w:rPr>
          <w:rFonts w:ascii="Calibri" w:hAnsi="Calibri"/>
          <w:b/>
          <w:color w:val="6E8450"/>
          <w:sz w:val="18"/>
        </w:rPr>
        <w:t>DIVIDEND SLEEVE · 2026-05-01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StepStone Group Inc. is a global private markets investment firm focused on providing customized investment solutions and advisory services across private equity, real estate, infrastructure, and private debt. The firm manages $219.8B in AUM and $138.6B in fee-earning AUM, serving institutional investors worldwide.</w:t>
      </w:r>
    </w:p>
    <w:p>
      <w:r>
        <w:rPr>
          <w:rFonts w:ascii="Calibri" w:hAnsi="Calibri"/>
          <w:b/>
          <w:color w:val="6E8450"/>
          <w:sz w:val="18"/>
        </w:rPr>
        <w:t>1,275 Employees · https://www.stepstonegroup.com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StepStone has successfully scaled from a mid-size private markets advisor to a $220B AUM global platform through organic growth and the 2024 Greenspring Associates acquisition, broadening capabilities across venture capital, growth equity, and co-investment [1]. The firm has also expanded from pure fund-of-funds into direct co-investments, secondaries, and customized portfolios — a meaningful business model evolution. AI Deployment (1/2): CEO Scott Hart emphasizes combining human expertise with machine intelligence, backed by $50M+ annual R&amp;D investment in 'StepStone Intelligence' — predictive analytics and portfolio tools for private markets decision-making [2]. The firm also invested in NeuBird AI's $19.3M funding round for enterprise agentic AI [2]. However, no specific AI-driven revenue or quantified cost savings reported. Market Share Leadership (1/2): StepStone is a leading global private markets specialist with $220B AUM, competing alongside Hamilton Lane, Partners Group, and larger diversified managers, but does not dominate any single category [1]. Product Pipeline (1/2): $32.7B in undeployed fee-earning capital (up 51% YoY) provides significant future revenue visibility, though specific new product launches with timelines are not well-defined [1]. R&amp;D Intensity (1/1): $50M+ annual R&amp;D spend on data analytics and AI tools is above average for asset management firms, reflecting commitment to technology-enabled investment processes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StepStone's stated purpose centers on being a 'trusted partner' helping institutional investors navigate private markets — clear and identifies the customer and value proposition, but not deeply distinctive or purpose-driven beyond commercial excellence. The values of 'client focus, integrity, collaboration, innovation and long-term stewardship' are thoughtful but standard for asset management [2]. Community &amp; Charitable Impact (1/2): StepStone integrates ESG into investment processes as a UN PRI signatory, publishes annual responsible investment reports, and has achieved 37% female new hires and 34% ethnically diverse new hires [3]. These are meaningful but represent industry-standard ESG practices rather than distinctive community investment. Employee Retention (1/2): CEO Hart describes the culture as 'creative, data-driven and entrepreneurial,' and the firm's 1,275-employee base in a specialized niche suggests reasonable stability [2]. Founder continuity since 2007 and Scott Hart's 18-year tenure (joined 2007, CEO since 2022) indicate leadership commitment. Insider Buying (1/2): Hart's internal promotion from partner to CEO after 15 years represents deep personal commitment to the firm, and the founder-led ownership structure aligns management and shareholder interests, though no specific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significant volatility distortion from carried interest accounting. D/E of 72.5% is only slightly above the 70% target [4]. GAAP ROE of -65.1% and profit margin of -30.7% are deeply negative due to unrealized carried interest losses in FY2025 that distort underlying economics — fee-related earnings (the more stable metric) grew 133% YoY in Q2 FY2026 [1]. Revenue growth of 65.1% YoY is strong but driven partly by mark-to-market reversals, while the 3-year CAGR of -4.9% reflects the FY2023 negative revenue year. Forward P/E of 21.1x on fee-related earnings is reasonable for a high-growth alternative asset manager. Dividend yield of 2.8% with 5 consecutive years paid but only 1 year of consecutive growth (following a small decline in 2024). Payout ratio of 167% on GAAP earnings is misleading — on fee-related earnings the dividend is well-covered.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StepStone demonstrates solid infinite-game orientation through its long-term stewardship model, founder continuity since 2007, and patient capital approach that aligns with multi-decade institutional investment horizons. CEO Hart's 18-year tenure and internal promotion signal organizational health. However, the firm's competitive language focuses more on AUM growth and market positioning than on a deeper purpose beyond serving institutional investors, and as a relatively young public company (IPO 2020), it hasn't been tested through a severe market cycle as a public 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StepStone's purpose of helping institutional investors — pension funds, sovereign wealth funds, endowments — navigate private markets connects the firm's work to retirement security and institutional mission fulfillment. The emphasis on 'long-term stewardship' and ESG integration through UN PRI signatory status reflects genuine intentionality beyond quarterly performance [2][3]. However, this cause is not uniquely distinctive — every alternative asset manager articulates a similar client-centric purpose, and it hasn't been tested through a transformative strategic decision.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Scott Hart's 18-year tenure (joined 2007 as a partner, CEO since 2022) and the internal promotion model signal organizational stability and trust [2]. The firm's 1,275 employees in a specialized global platform suggest relatively low turnover for the asset management industry. Hart describes the culture as 'entrepreneurial,' emphasizing data-driven decision-making and collaboration. However, no specific retention metrics, employee satisfaction data, or cultural differentiators beyond standard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StepStone's competitive positioning emphasizes AUM growth (19-23% YoY), fee-earning capital accumulation, and market share in private markets advisory — metrics that reflect a finite competitive mindset focused on winning through scale. No evidence of management referencing Hamilton Lane, Partners Group, or other peers as worthy rivals whose strengths drive StepStone's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StepStone has evolved its business model from a pure fund-of-funds advisor into a diversified private markets platform spanning direct co-investments, secondaries, and customized solutions across private equity, real estate, infrastructure, and private debt [1]. The Greenspring Associates acquisition expanded into venture capital. These are meaningful strategic expansions, though incremental rather than transformative — the core business model of institutional private markets advisory has remained consistent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$50M+ annually in AI and data analytics capabilities — a significant expense for a firm of StepStone's size — demonstrates willingness to invest in long-term capability over short-term earnings [2]. The decision to go public in 2020 during COVID-19 uncertainty, and the subsequent Greenspring acquisition to build venture capital capabilities, reflect confident strategic bets. However, these are conventional growth investments rather than counter-consensus decisions that sacrificed near-term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StepStone Group is a premier private markets platform riding secular tailwinds as institutional investors increase allocations to alternatives. AUM of $220B grew 23% YoY in Q3 FY2026 with fee-earning AUM up 21% to $138.6B, driving 17% fee revenue growth and 133% growth in performance fee-related earnings [1]. The $32.7B in undeployed fee-earning capital (up 51% YoY) provides substantial embedded future revenue. At 21x forward earnings with a 2.8% dividend yield and $50M+ annual AI/data analytics investment, StepStone offers attractive exposure to the secular shift toward private markets at a reasonable valuation for an asset manager compounding fee-earning AUM at 20%+.</w:t>
      </w:r>
    </w:p>
    <w:p>
      <w:pPr>
        <w:spacing w:after="120"/>
      </w:pPr>
      <w:r>
        <w:rPr>
          <w:rFonts w:ascii="Calibri" w:hAnsi="Calibri"/>
          <w:b w:val="0"/>
          <w:color w:val="3A4A28"/>
          <w:sz w:val="20"/>
        </w:rPr>
        <w:t>The bear case centers on the extreme volatility of GAAP financials — FY2023 had negative revenue (-$67.6M) due to carried interest mark-to-market losses, and current GAAP metrics show -30.7% profit margins and -65% ROE, making fundamental analysis unreliable [4]. The 167% GAAP payout ratio raises dividend sustainability questions if fee-related earnings compress during a private markets downturn. StepStone is heavily exposed to private equity and venture capital fundraising cycles, which could decelerate if interest rates remain elevated and LP appetite for illiquid allocations wanes. As a relatively small firm (1,275 employees) competing against Hamilton Lane, Blackstone, and other well-capitalized platforms, scale disadvantages could emerge in data capabilities and distribution reach.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Fee-earning AUM growth of 21-27% YoY with $32.7B in undeployed capital providing locked-in future management fee revenue as capital is called and deployed</w:t>
      </w:r>
    </w:p>
    <w:p>
      <w:pPr>
        <w:spacing w:before="40" w:after="40"/>
        <w:ind w:left="283"/>
      </w:pPr>
      <w:r>
        <w:rPr>
          <w:rFonts w:ascii="Calibri" w:hAnsi="Calibri"/>
          <w:b/>
          <w:color w:val="4A6B25"/>
          <w:sz w:val="20"/>
        </w:rPr>
        <w:t xml:space="preserve">2. </w:t>
      </w:r>
      <w:r>
        <w:rPr>
          <w:rFonts w:ascii="Calibri" w:hAnsi="Calibri"/>
          <w:b w:val="0"/>
          <w:color w:val="3A4A28"/>
          <w:sz w:val="20"/>
        </w:rPr>
        <w:t>Private markets secular growth as global institutional investors increase alternative allocations from current 25-30% toward 40%+ targets over the next decade</w:t>
      </w:r>
    </w:p>
    <w:p>
      <w:pPr>
        <w:spacing w:before="40" w:after="40"/>
        <w:ind w:left="283"/>
      </w:pPr>
      <w:r>
        <w:rPr>
          <w:rFonts w:ascii="Calibri" w:hAnsi="Calibri"/>
          <w:b/>
          <w:color w:val="4A6B25"/>
          <w:sz w:val="20"/>
        </w:rPr>
        <w:t xml:space="preserve">3. </w:t>
      </w:r>
      <w:r>
        <w:rPr>
          <w:rFonts w:ascii="Calibri" w:hAnsi="Calibri"/>
          <w:b w:val="0"/>
          <w:color w:val="3A4A28"/>
          <w:sz w:val="20"/>
        </w:rPr>
        <w:t>StepStone Intelligence AI platform backed by $50M+ annual R&amp;D could create competitive differentiation in GP selection and portfolio construction, improving client outcomes and retention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financial volatility from carried interest mark-to-market accounting obscures underlying economics and could trigger selling pressure during periods of negative reported revenue or earnings</w:t>
      </w:r>
    </w:p>
    <w:p>
      <w:pPr>
        <w:spacing w:before="40" w:after="40"/>
        <w:ind w:left="283"/>
      </w:pPr>
      <w:r>
        <w:rPr>
          <w:rFonts w:ascii="Calibri" w:hAnsi="Calibri"/>
          <w:b/>
          <w:color w:val="4A6B25"/>
          <w:sz w:val="20"/>
        </w:rPr>
        <w:t xml:space="preserve">2. </w:t>
      </w:r>
      <w:r>
        <w:rPr>
          <w:rFonts w:ascii="Calibri" w:hAnsi="Calibri"/>
          <w:b w:val="0"/>
          <w:color w:val="3A4A28"/>
          <w:sz w:val="20"/>
        </w:rPr>
        <w:t>Prolonged higher-for-longer interest rate environment could slow private markets fundraising and deployment, compressing management fees and delaying carried interest crystallization</w:t>
      </w:r>
    </w:p>
    <w:p>
      <w:pPr>
        <w:spacing w:before="40" w:after="40"/>
        <w:ind w:left="283"/>
      </w:pPr>
      <w:r>
        <w:rPr>
          <w:rFonts w:ascii="Calibri" w:hAnsi="Calibri"/>
          <w:b/>
          <w:color w:val="4A6B25"/>
          <w:sz w:val="20"/>
        </w:rPr>
        <w:t xml:space="preserve">3. </w:t>
      </w:r>
      <w:r>
        <w:rPr>
          <w:rFonts w:ascii="Calibri" w:hAnsi="Calibri"/>
          <w:b w:val="0"/>
          <w:color w:val="3A4A28"/>
          <w:sz w:val="20"/>
        </w:rPr>
        <w:t>Dividend payout ratio of 167% on GAAP earnings is unsustainable if fee-related earnings growth decelerates, and only 1 year of consecutive growth limits dividend credibility for income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Private markets investment management is significantly protected from AI disruption due to relationship-driven capital raising, illiquid asset evaluation requiring deep domain expertise, and regulatory complexity in institutional fund management. AI cannot replicate the judgment required for private equity GP selection, real estate co-investment diligence, or infrastructure deal structuring. However, AI tools are increasingly capable of augmenting quantitative analysis, portfolio construction, and performance benchmarking — areas where StepStone currently differentiates. Firms that fail to adopt AI for operational efficiency may face competitive pressure from tech-enabled peers. AI Opportunity (1/1): StepStone invests $50M+ annually in AI-powered 'StepStone Intelligence' predictive analytics tools and participated in NeuBird AI's funding round, generating direct value from AI integration into investment decision-making processes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StepStone Group Q3 FY2026 Earnings Presentation, February 2026</w:t>
      </w:r>
    </w:p>
    <w:p>
      <w:pPr>
        <w:spacing w:before="20" w:after="20"/>
        <w:ind w:left="170"/>
      </w:pPr>
      <w:r>
        <w:rPr>
          <w:rFonts w:ascii="Calibri" w:hAnsi="Calibri"/>
          <w:b/>
          <w:color w:val="4A6B25"/>
          <w:sz w:val="15"/>
        </w:rPr>
        <w:t xml:space="preserve">2. </w:t>
      </w:r>
      <w:r>
        <w:rPr>
          <w:rFonts w:ascii="Calibri" w:hAnsi="Calibri"/>
          <w:b w:val="0"/>
          <w:color w:val="3A4A28"/>
          <w:sz w:val="17"/>
        </w:rPr>
        <w:t>StepStone Group Corporate Website — Leadership, Culture, and StepStone Intelligence, accessed May 2026</w:t>
      </w:r>
    </w:p>
    <w:p>
      <w:pPr>
        <w:spacing w:before="20" w:after="20"/>
        <w:ind w:left="170"/>
      </w:pPr>
      <w:r>
        <w:rPr>
          <w:rFonts w:ascii="Calibri" w:hAnsi="Calibri"/>
          <w:b/>
          <w:color w:val="4A6B25"/>
          <w:sz w:val="15"/>
        </w:rPr>
        <w:t xml:space="preserve">3. </w:t>
      </w:r>
      <w:r>
        <w:rPr>
          <w:rFonts w:ascii="Calibri" w:hAnsi="Calibri"/>
          <w:b w:val="0"/>
          <w:color w:val="3A4A28"/>
          <w:sz w:val="17"/>
        </w:rPr>
        <w:t>StepStone Group 2023 Responsible Investment Report and ESG Disclosures</w:t>
      </w:r>
    </w:p>
    <w:p>
      <w:pPr>
        <w:spacing w:before="20" w:after="20"/>
        <w:ind w:left="170"/>
      </w:pPr>
      <w:r>
        <w:rPr>
          <w:rFonts w:ascii="Calibri" w:hAnsi="Calibri"/>
          <w:b/>
          <w:color w:val="4A6B25"/>
          <w:sz w:val="15"/>
        </w:rPr>
        <w:t xml:space="preserve">4. </w:t>
      </w:r>
      <w:r>
        <w:rPr>
          <w:rFonts w:ascii="Calibri" w:hAnsi="Calibri"/>
          <w:b w:val="0"/>
          <w:color w:val="3A4A28"/>
          <w:sz w:val="17"/>
        </w:rPr>
        <w:t>Yahoo Finance — STEP key statistics and balance sheet,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