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STGW</w:t>
      </w:r>
      <w:r>
        <w:rPr>
          <w:rFonts w:ascii="Calibri" w:hAnsi="Calibri"/>
          <w:b/>
          <w:color w:val="1A2010"/>
          <w:sz w:val="40"/>
        </w:rPr>
        <w:t xml:space="preserve">  Stagwell Inc.</w:t>
      </w:r>
    </w:p>
    <w:p>
      <w:pPr>
        <w:spacing w:after="120"/>
      </w:pPr>
      <w:r>
        <w:rPr>
          <w:rFonts w:ascii="Calibri" w:hAnsi="Calibri"/>
          <w:b/>
          <w:color w:val="6E8450"/>
          <w:sz w:val="18"/>
        </w:rPr>
        <w:t>GROWTH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United States</w:t>
      </w:r>
    </w:p>
    <w:p>
      <w:pPr>
        <w:spacing w:after="80"/>
      </w:pPr>
      <w:r>
        <w:rPr>
          <w:rFonts w:ascii="Calibri" w:hAnsi="Calibri"/>
          <w:b w:val="0"/>
          <w:color w:val="3A4A28"/>
          <w:sz w:val="20"/>
        </w:rPr>
        <w:t>Stagwell Inc. is a digital-first global marketing services network combining creativity and technology. The company operates through agencies including Assembly, 72andSunny, Allison+Partners, and Anomaly, providing digital transformation, performance media, communications, and research services. Stagwell invests ~$20M/quarter in AI and marketing technology, positioning itself as a tech-forward challenger to legacy ad holding companies.</w:t>
      </w:r>
    </w:p>
    <w:p>
      <w:r>
        <w:rPr>
          <w:rFonts w:ascii="Calibri" w:hAnsi="Calibri"/>
          <w:b/>
          <w:color w:val="6E8450"/>
          <w:sz w:val="18"/>
        </w:rPr>
        <w:t>13,000 Employees · https://www.stagwellglobal.com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Stagwell was formed through the 2021 merger of MDC Partners and Stagwell Group, creating a $2.9B digital-first marketing network under Mark Penn's leadership — a genuine business model transformation [1][2]. The company has expanded through targeted acquisitions and built the Stagwell Marketing Cloud as a differentiated technology platform. AI Deployment (2/2): Stagwell invests approximately $20M per quarter in technology and AI, deploying specific AI applications including automated agents for ad targeting in media buying, AI bots that write and pitch press releases, and AI-powered dashboards for data analysis in research [2]. These are shipping products with measurable operational impact, not vaporware. Market Share (1/2): At $2.91B revenue, Stagwell is approximately the 6th largest global marketing network, smaller than WPP, Publicis, Omnicom, IPG, and Dentsu, but growing faster than legacy peers with 6% net revenue growth vs. industry flat-to-declining trends [1]. Pipeline (1/2): FY2026 guidance calls for $3.1-3.3B revenue (8-12% net revenue growth) with $475-$525M adjusted EBITDA and EPS of $0.98-$1.12 [1]. LTM net new business reached $476M, providing revenue visibility. R&amp;D Intensity (1/1): $20M/quarter technology investment (~$80M annually, ~2.7% of revenue) is well above the advertising industry average, placing Stagwell in the top quartile for R&amp;D intensity among marketing services firms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Stagwell's positioning as a challenger to legacy advertising holding companies — 'transforming marketing through digital innovation and technology' — is clear and identifies what the company does and for whom, but is not distinctive enough to inspire beyond the industry [2]. It's a competitive positioning rather than a Just Cause. Community Impact (0/2): No evidence of significant charitable programs, foundation, or community investment initiatives beyond standard corporate philanthropy. Employee Retention (0/2): The Israel government contract controversy in 2024 caused internal tensions, talent departures, and public calls for employees to 'walk away' from Stagwell agencies [3]. This represents a negative signal on organizational trust and retention, though the scale of departures is unclear. Insider Buying (1/2): Mark Penn has significant equity exposure in Stagwell, and the company authorized a $725M share repurchase program demonstrating capital return commitment to shareholders [1]. However, no evidence of significant recent open-market insider purchases by Penn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Stagwell's financial profile shows a company with strong earnings growth potential offset by high leverage and thin margins. Debt-to-equity of 200.4% is elevated, reflecting acquisition-driven capital structure typical of agency roll-ups [4]. ROE of 3.86% is weak but improving, with forward earnings guidance of $0.98-$1.12 EPS representing significant earnings acceleration [1]. Revenue growth YoY of 2.4% was modest, but 2026 guidance targets 8-12% net revenue growth [1]. Forward P/E of 6.25x is exceptionally cheap for a company guiding to 65% earnings growth, yielding a forward PEG of ~0.10 — among the lowest in the marketing services sector [4]. Profit margin of 1.0% is thin but expected to expand with operating leverage as revenue scales above fixed cost base. The $725M buyback program signals management confidence [1]. Liquidity floor easily cleared: 1.84M avg vol × $7.28 = $13.4M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Stagwell under Mark Penn plays a mixed game — the bold transformation from MDC Partners into a tech-forward marketing network, the $20M/quarter AI investment while competitors cut staff, and the willingness to challenge legacy holdcos demonstrate infinite game elements. However, the Israel government contract controversy revealed fractures in organizational trust, and the competitive framing often emphasizes 'winning' against WPP and Publicis rather than serving a deeper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Penn's vision of transforming marketing through digital innovation and technology — challenging the status quo of bloated legacy holding companies — is genuine and drives strategy [2]. The vision has shaped acquisitions, technology investment, and organizational structure. However, it's more of a competitive positioning ('we're the modern alternative to WPP') than a truly transcendent Just Cause about making the world better. It hasn't been tested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Israel government contract controversy in 2024 significantly damaged organizational trust — strategy consultant Zoe Scaman publicly called on Stagwell employees to 'walk away,' the post attracted nearly 1,000 likes, and anecdotal evidence suggests talent departures [3]. Stagwell postponed its London Festival event following the backlash. While this was a single incident, it revealed that employees did not feel safe enough to raise concerns internally before the contract leaked publicly — a clear failure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Penn explicitly acknowledges the strengths of WPP, Publicis, and Omnicom in earnings calls and interviews, using their scale and client relationships as motivation to improve Stagwell's technology and service offerings [2]. He frames competition as driving Stagwell to be better — 'we need to out-innovate, not out-spend' — rather than as a war to win. The hiring of talent from competitors during their layoffs shows a mindset of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transformation from MDC Partners (a struggling agency network) into Stagwell (a tech-forward marketing platform) represented significant strategic flexibility — rebranding, restructuring, and repositioning the entire organization around digital and technology [1][2]. The ongoing AI investment pivot ($20M/quarter) represents further adaptation. However, the core business remains agency services, and the transformation was incremental rather than the kind of radical reinvention Sinek values most highly.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Penn has demonstrated clear courage by investing $20M/quarter in AI technology while industry peers like WPP and IPG cut thousands of employees and reduce costs [2]. The decision to hire talent aggressively during competitor layoffs, authorize a $725M buyback program, and guide for 8-12% net revenue growth when the industry is flat requires conviction in the face of near-term margin pressure. The $476M in LTM net new business validates these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Stagwell is a digital-first marketing network trading at a deep value discount — forward P/E of 6.25x against guided EPS of $0.98-$1.12 for FY2026, with 8-12% net revenue growth targeting $3.1-3.3B in revenue [1]. The company's $20M/quarter AI investment is translating into differentiated service offerings — AI agents for media buying, automated PR, and data analytics — positioning Stagwell to gain share from legacy holdcos that are cutting rather than investing [2]. Q4 2025 revenue of $807M (up 2.4% YoY) and $0.30 EPS beat consensus, while LTM net new business of $476M provides forward revenue visibility [1]. Mark Penn's leadership combines political strategist insight with technology vision, and the $725M buyback program signals management confidence in the stock's undervaluation. Adjusted EBITDA guidance of $475-$525M for 2026 implies significant margin expansion from the current 1% net profit margin [1].</w:t>
      </w:r>
    </w:p>
    <w:p>
      <w:pPr>
        <w:spacing w:after="120"/>
      </w:pPr>
      <w:r>
        <w:rPr>
          <w:rFonts w:ascii="Calibri" w:hAnsi="Calibri"/>
          <w:b w:val="0"/>
          <w:color w:val="3A4A28"/>
          <w:sz w:val="20"/>
        </w:rPr>
        <w:t>The bear case centers on high leverage, thin margins, and execution risk. Debt-to-equity of 200.4% creates financial fragility in a downturn, and the 1% net profit margin leaves minimal cushion for revenue disappointments [4]. The advertising industry faces structural AI disruption risk — clients may bring AI creative and media buying tools in-house, compressing agency fees and threatening the service model that generates Stagwell's $2.9B revenue base [2]. The Israel government contract controversy in 2024 damaged employee trust and employer brand, with talent departures and public backlash potentially affecting client acquisition and retention [3]. Revenue growth of only 2.4% YoY in Q4 2025 underperformed the 8-12% net revenue growth guided for 2026, creating credibility risk on forward guidance. The $725M buyback program, while confidence-signaling, adds leverage to an already highly-leveraged balance sheet. Mark Penn's concentration of power as Chairman and CEO creates key-person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margin expansion — $20M/quarter technology investment creating automated service delivery that reduces labor costs and expands margins toward the $475-$525M adjusted EBITDA target for FY2026 [1][2]</w:t>
      </w:r>
    </w:p>
    <w:p>
      <w:pPr>
        <w:spacing w:before="40" w:after="40"/>
        <w:ind w:left="283"/>
      </w:pPr>
      <w:r>
        <w:rPr>
          <w:rFonts w:ascii="Calibri" w:hAnsi="Calibri"/>
          <w:b/>
          <w:color w:val="4A6B25"/>
          <w:sz w:val="20"/>
        </w:rPr>
        <w:t xml:space="preserve">2. </w:t>
      </w:r>
      <w:r>
        <w:rPr>
          <w:rFonts w:ascii="Calibri" w:hAnsi="Calibri"/>
          <w:b w:val="0"/>
          <w:color w:val="3A4A28"/>
          <w:sz w:val="20"/>
        </w:rPr>
        <w:t>Multiple re-rating from deep value — forward P/E of 6.25x with 65% earnings growth guidance; achieving $1.00+ EPS could drive meaningful stock appreciation as the market recognizes the growth profile [1][4]</w:t>
      </w:r>
    </w:p>
    <w:p>
      <w:pPr>
        <w:spacing w:before="40" w:after="40"/>
        <w:ind w:left="283"/>
      </w:pPr>
      <w:r>
        <w:rPr>
          <w:rFonts w:ascii="Calibri" w:hAnsi="Calibri"/>
          <w:b/>
          <w:color w:val="4A6B25"/>
          <w:sz w:val="20"/>
        </w:rPr>
        <w:t xml:space="preserve">3. </w:t>
      </w:r>
      <w:r>
        <w:rPr>
          <w:rFonts w:ascii="Calibri" w:hAnsi="Calibri"/>
          <w:b w:val="0"/>
          <w:color w:val="3A4A28"/>
          <w:sz w:val="20"/>
        </w:rPr>
        <w:t>Net new business momentum — $476M LTM net new business wins, with major client expansions validating Stagwell's digital-first positioning against legacy holdcos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commoditization of marketing services — generative AI tools from OpenAI, Google, and Meta could enable clients to produce creative content, target ads, and analyze data in-house, compressing agency fees and threatening Stagwell's $2.9B revenue base [2]</w:t>
      </w:r>
    </w:p>
    <w:p>
      <w:pPr>
        <w:spacing w:before="40" w:after="40"/>
        <w:ind w:left="283"/>
      </w:pPr>
      <w:r>
        <w:rPr>
          <w:rFonts w:ascii="Calibri" w:hAnsi="Calibri"/>
          <w:b/>
          <w:color w:val="4A6B25"/>
          <w:sz w:val="20"/>
        </w:rPr>
        <w:t xml:space="preserve">2. </w:t>
      </w:r>
      <w:r>
        <w:rPr>
          <w:rFonts w:ascii="Calibri" w:hAnsi="Calibri"/>
          <w:b w:val="0"/>
          <w:color w:val="3A4A28"/>
          <w:sz w:val="20"/>
        </w:rPr>
        <w:t>High leverage and thin margins — debt-to-equity of 200.4% and net profit margin of 1% create financial fragility; a recession or client pullback in advertising spend could strain debt covenants [4]</w:t>
      </w:r>
    </w:p>
    <w:p>
      <w:pPr>
        <w:spacing w:before="40" w:after="40"/>
        <w:ind w:left="283"/>
      </w:pPr>
      <w:r>
        <w:rPr>
          <w:rFonts w:ascii="Calibri" w:hAnsi="Calibri"/>
          <w:b/>
          <w:color w:val="4A6B25"/>
          <w:sz w:val="20"/>
        </w:rPr>
        <w:t xml:space="preserve">3. </w:t>
      </w:r>
      <w:r>
        <w:rPr>
          <w:rFonts w:ascii="Calibri" w:hAnsi="Calibri"/>
          <w:b w:val="0"/>
          <w:color w:val="3A4A28"/>
          <w:sz w:val="20"/>
        </w:rPr>
        <w:t>Organizational trust deficit — the Israel contract controversy caused talent departures and public backlash, and Mark Penn's key-person risk as Chairman and CEO creates concentration of decision-making authority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Advertising and marketing services face significant AI disruption risk — AI tools can generate creative content (copy, images, video), automate media buying and targeting, produce data analytics, and handle PR distribution, all of which are core Stagwell service offerings [2]. Generative AI from OpenAI, Google, and Meta directly threatens the labor-intensive creative and research processes that drive agency revenue. Clients may increasingly bring AI tools in-house rather than paying agency fees. However, Stagwell's proactive AI adoption ($20M/quarter in technology) positions it better than legacy peers to navigate this transition. AI Opportunity (1/1): Stagwell generates quantifiable AI-related revenue through its Stagwell Marketing Cloud, AI-powered media buying agents, and automated content creation tools [2]. The company's AI investments are shipping to clients and generating operational efficiencies — Mark Penn has framed AI as a 'job and value creator' that expands Stagwell's service offerings rather than cannibalizing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Stagwell Q4 2025 Earnings Release — $807M revenue, $0.30 EPS, FY2025 $2.91B revenue, FY2026 guidance $3.1-3.3B, $725M buyback, March 2026</w:t>
      </w:r>
    </w:p>
    <w:p>
      <w:pPr>
        <w:spacing w:before="20" w:after="20"/>
        <w:ind w:left="170"/>
      </w:pPr>
      <w:r>
        <w:rPr>
          <w:rFonts w:ascii="Calibri" w:hAnsi="Calibri"/>
          <w:b/>
          <w:color w:val="4A6B25"/>
          <w:sz w:val="15"/>
        </w:rPr>
        <w:t xml:space="preserve">2. </w:t>
      </w:r>
      <w:r>
        <w:rPr>
          <w:rFonts w:ascii="Calibri" w:hAnsi="Calibri"/>
          <w:b w:val="0"/>
          <w:color w:val="3A4A28"/>
          <w:sz w:val="17"/>
        </w:rPr>
        <w:t>Mark Penn leadership and AI strategy — $20M/quarter tech investment, AI agents for media buying, Stagwell Marketing Cloud, S&amp;P Global MediaTalk, 2025-2026</w:t>
      </w:r>
    </w:p>
    <w:p>
      <w:pPr>
        <w:spacing w:before="20" w:after="20"/>
        <w:ind w:left="170"/>
      </w:pPr>
      <w:r>
        <w:rPr>
          <w:rFonts w:ascii="Calibri" w:hAnsi="Calibri"/>
          <w:b/>
          <w:color w:val="4A6B25"/>
          <w:sz w:val="15"/>
        </w:rPr>
        <w:t xml:space="preserve">3. </w:t>
      </w:r>
      <w:r>
        <w:rPr>
          <w:rFonts w:ascii="Calibri" w:hAnsi="Calibri"/>
          <w:b w:val="0"/>
          <w:color w:val="3A4A28"/>
          <w:sz w:val="17"/>
        </w:rPr>
        <w:t>AdWeek, PR Week, Marketing-Interactive — Stagwell Israel government contract controversy, talent departures, London event postponement,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STGW key statistics, stock price $7.28, D/E 200.4%, ROE 3.86%, forward PE 6.25,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