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STLA</w:t>
      </w:r>
      <w:r>
        <w:rPr>
          <w:rFonts w:ascii="Calibri" w:hAnsi="Calibri"/>
          <w:b/>
          <w:color w:val="1A2010"/>
          <w:sz w:val="40"/>
        </w:rPr>
        <w:t xml:space="preserve">  Stellantis N.V.</w:t>
      </w:r>
    </w:p>
    <w:p>
      <w:pPr>
        <w:spacing w:after="120"/>
      </w:pPr>
      <w:r>
        <w:rPr>
          <w:rFonts w:ascii="Calibri" w:hAnsi="Calibri"/>
          <w:b/>
          <w:color w:val="6E8450"/>
          <w:sz w:val="18"/>
        </w:rPr>
        <w:t>GROWTH SLEEVE · 2026-03-24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Discretionary · Automobiles · NYSE · Netherlands</w:t>
      </w:r>
    </w:p>
    <w:p>
      <w:pPr>
        <w:spacing w:after="80"/>
      </w:pPr>
      <w:r>
        <w:rPr>
          <w:rFonts w:ascii="Calibri" w:hAnsi="Calibri"/>
          <w:b w:val="0"/>
          <w:color w:val="3A4A28"/>
          <w:sz w:val="20"/>
        </w:rPr>
        <w:t>Stellantis N.V. is one of the world's largest automakers by volume, formed from the 2021 merger of Fiat Chrysler Automobiles and PSA Group. The company owns 14 automotive brands including Jeep, Ram, Dodge, Chrysler, Fiat, Alfa Romeo, Maserati, Peugeot, Citroën, and Opel/Vauxhall. Under new CEO Antonio Filosa, Stellantis is executing a 'profound reset' following a $22.3B net loss in FY2025, scaling back EV-only strategy and refocusing on Jeep and Ram in North America.</w:t>
      </w:r>
    </w:p>
    <w:p>
      <w:r>
        <w:rPr>
          <w:rFonts w:ascii="Calibri" w:hAnsi="Calibri"/>
          <w:b/>
          <w:color w:val="6E8450"/>
          <w:sz w:val="18"/>
        </w:rPr>
        <w:t>240,000 Employees · https://www.stellantis.com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Stellantis under prior CEO Tavares pursued aggressive EV investment but overestimated adoption pace, resulting in $26B+ in restructuring charges[1]. New CEO Filosa has reoriented toward conventional hybrids, plug-in hybrids, and HEMI engine revival—a pragmatic but backwards-looking innovation stance. The company is investing in AI for engineering, manufacturing quality, and in-car experiences without specific product announcements. H2 2025 showed recovery signs (revenue +10%, shipments +11%), suggesting execution improvement rather than innovation leadership. Innovation track record: 1pt (14-brand portfolio management, EV programs initiated). AI deployment: 1pt (AI in manufacturing quality and in-car features). Market share: 1pt (global top-5 automaker by volume, but losing U.S. share). Pipeline: 1pt (four-year $13B U.S. investment program announced). R&amp;D: 0. Total: 4.</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Filosa has articulated three guiding cultural principles: 'global company with strong regional roots,' customer-focused, and working together—specific enough to score a 2 on mission quality but not transformative. The company's iconic brands (Jeep, Ram, Alfa Romeo) carry brand heritage that inspires customer loyalty. However, the magnitude of the 2025 reset ($22B loss, dividend suspended) damaged credibility and trust[1]. Community programs exist at scale through Stellantis Foundation but are not distinctive relative to company size. Insider buying: Filosa has been in the role since May 2025 and no major open-market buying is documented, scoring 0. Total: 2 + 1 + 0 + 0 = 3, displayed as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Stellantis's 2025 financial results are severely impaired: €22.3B net loss, €25.4B in charges, dividend suspended for 2026, and D/E elevated from acquisition financing and restructuring[1]. Revenue was €153.5B (-2% YoY) with H2 recovery (+10%) but inadequate to offset H1 weakness. Forward P/E is low (~4-5x) reflecting the turnaround risk. ROE is deeply negative. Profit margin is deeply negative. 2026 guidance for mid-single-digit revenue growth and low-single-digit AOI margin represents improvement but not return to target metrics. Infrastructure score reflects near-floor metrics on most dimensions.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Stellantis's history is fundamentally one of serial mergers and acquisitions—Fiat, Chrysler, PSA, Opel—driven by scale economics rather than a singular Just Cause. The Tavares era optimized aggressively for short-term profitability over customer experience and brand investment, a textbook finite game outcome that produced the 2025 crisis. Filosa's reset toward 'customer as guiding star' is a correction, but the company's 14-brand complexity makes coherent infinite game thinking difficult.</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Filosa's stated cause—making Stellantis's customers the guiding star—is customer-focused but generic. The company lacks the singular vision of Toyota's 'ever-better cars' or Tesla's 'accelerate sustainable transport.' The 14-brand portfolio fragments any potential Just Cause into brand-specific narratives that compete internally. Score: 1 point (cause exists but shallow), display 4.</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Stellantis under Tavares had a well-documented confrontational management culture that led to significant talent departure and union friction, contributing to quality issues and the 2025 collapse. Filosa is explicitly trying to repair this with his 'working together' principle, but trust rebuilding takes years. Score: 0 points (low-trust environment), display 2.</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Filosa's 'Year of Execution' focus and the explicit benchmarking against Toyota's quality management systems and Ford's U.S. market recovery reflect a competitive posture oriented toward self-improvement rather than rival destruction. The willingness to revive the HEMI engine in response to consumer feedback is customer-driven competition. Score: 1 point, display 10.</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pivot from Tavares's EV-first strategy to a pragmatic multi-powertrain approach (HEV, PHEV, ICE revival) is a meaningful strategic inflection—acknowledging that the EV-only thesis was wrong and adapting. However, this represents strategic correction rather than transformative reinvention. Score: 1 point (some flexibility), display 6.</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Taking a $22.3B loss to reset the business model—closing plants, canceling EV programs, suspending dividends—is costly in the short term but necessary for long-term viability. Filosa's willingness to own the full magnitude of the reset rather than mask it with financial engineering earns 1 courage point. Score: 1 point, display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Stellantis trades at ~5x forward earnings—an extreme discount reflecting the magnitude of FY2025's $22.3B loss and ongoing uncertainty about Filosa's turnaround timeline. The catalysts for rerating are specific and measurable: the $500M slab contract improvement analogue in steel is replaced by the $6.5B cash restructuring savings over 4 years and the $13B U.S. production investment, which management says will grow U.S. finished-vehicle production by 50%[1]. If Filosa delivers his 2026 guided mid-single-digit revenue growth and positive IFCF improvement, the stock's discount to global auto peers (Ford, GM trade at 8-10x) could compress significantly.</w:t>
      </w:r>
    </w:p>
    <w:p>
      <w:pPr>
        <w:spacing w:after="120"/>
      </w:pPr>
      <w:r>
        <w:rPr>
          <w:rFonts w:ascii="Calibri" w:hAnsi="Calibri"/>
          <w:b w:val="0"/>
          <w:color w:val="3A4A28"/>
          <w:sz w:val="20"/>
        </w:rPr>
        <w:t>The bear case is that Stellantis's $22.3B loss is symptomatic of structural competitive disadvantage in key markets—U.S. and Europe—that Filosa cannot reverse through operational discipline alone. Chinese OEMs (BYD, Geely) have cost structures 20-30% below Western automakers in EV production and are expanding aggressively into European markets. Meanwhile, the company's North American brands (Jeep, Ram, Dodge) face intensifying competition from Ford's truck lineup and the structural shift away from large ICE SUVs. With 14 brands, the portfolio may be too large to turnaround simultaneously on a $13B investment budget.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Q1 2026 earnings (April 30) demonstrating sequential improvement in North American market share and gross margin, validating the 2026 turnaround execution</w:t>
      </w:r>
    </w:p>
    <w:p>
      <w:pPr>
        <w:spacing w:before="40" w:after="40"/>
        <w:ind w:left="283"/>
      </w:pPr>
      <w:r>
        <w:rPr>
          <w:rFonts w:ascii="Calibri" w:hAnsi="Calibri"/>
          <w:b/>
          <w:color w:val="4A6B25"/>
          <w:sz w:val="20"/>
        </w:rPr>
        <w:t xml:space="preserve">2. </w:t>
      </w:r>
      <w:r>
        <w:rPr>
          <w:rFonts w:ascii="Calibri" w:hAnsi="Calibri"/>
          <w:b w:val="0"/>
          <w:color w:val="3A4A28"/>
          <w:sz w:val="20"/>
        </w:rPr>
        <w:t>Investor Day (May 21, Auburn Hills) detailing the full four-year $13B investment plan with specific brand strategies and financial targets</w:t>
      </w:r>
    </w:p>
    <w:p>
      <w:pPr>
        <w:spacing w:before="40" w:after="40"/>
        <w:ind w:left="283"/>
      </w:pPr>
      <w:r>
        <w:rPr>
          <w:rFonts w:ascii="Calibri" w:hAnsi="Calibri"/>
          <w:b/>
          <w:color w:val="4A6B25"/>
          <w:sz w:val="20"/>
        </w:rPr>
        <w:t xml:space="preserve">3. </w:t>
      </w:r>
      <w:r>
        <w:rPr>
          <w:rFonts w:ascii="Calibri" w:hAnsi="Calibri"/>
          <w:b w:val="0"/>
          <w:color w:val="3A4A28"/>
          <w:sz w:val="20"/>
        </w:rPr>
        <w:t>POSCO strategic partnership announcement providing EV-grade steel at competitive pricing for the electrification of Ram pickup trucks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Chinese automaker expansion into European markets (Stellantis's second-largest region) intensifying price competition and accelerating market share losses beyond current levels</w:t>
      </w:r>
    </w:p>
    <w:p>
      <w:pPr>
        <w:spacing w:before="40" w:after="40"/>
        <w:ind w:left="283"/>
      </w:pPr>
      <w:r>
        <w:rPr>
          <w:rFonts w:ascii="Calibri" w:hAnsi="Calibri"/>
          <w:b/>
          <w:color w:val="4A6B25"/>
          <w:sz w:val="20"/>
        </w:rPr>
        <w:t xml:space="preserve">2. </w:t>
      </w:r>
      <w:r>
        <w:rPr>
          <w:rFonts w:ascii="Calibri" w:hAnsi="Calibri"/>
          <w:b w:val="0"/>
          <w:color w:val="3A4A28"/>
          <w:sz w:val="20"/>
        </w:rPr>
        <w:t>North American brand (Jeep, Ram) market share continuing to decline in 2026 despite Filosa's refocus, driven by competitive new Ford F-150 and GM truck launches</w:t>
      </w:r>
    </w:p>
    <w:p>
      <w:pPr>
        <w:spacing w:before="40" w:after="40"/>
        <w:ind w:left="283"/>
      </w:pPr>
      <w:r>
        <w:rPr>
          <w:rFonts w:ascii="Calibri" w:hAnsi="Calibri"/>
          <w:b/>
          <w:color w:val="4A6B25"/>
          <w:sz w:val="20"/>
        </w:rPr>
        <w:t xml:space="preserve">3. </w:t>
      </w:r>
      <w:r>
        <w:rPr>
          <w:rFonts w:ascii="Calibri" w:hAnsi="Calibri"/>
          <w:b w:val="0"/>
          <w:color w:val="3A4A28"/>
          <w:sz w:val="20"/>
        </w:rPr>
        <w:t>€6.5B cash restructuring payments over 4 years straining cash flow while the company simultaneously needs to invest $13B in U.S. production—creating a potential capital allocation conflict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Stellantis faces meaningful AI disruption risk from autonomous vehicles and software-defined automotive platforms, where Tesla and Chinese EV manufacturers (BYD, NIO) hold significant advantages in software development capability. The company lacks a proprietary software stack comparable to Tesla's or a partnership depth comparable to GM/Cruise. However, physical automotive manufacturing—stamping, welding, assembly—remains immune to AI substitution, protecting approximately 70% of the value chain. Stellantis is deploying AI in manufacturing quality (50%+ reduction in first-month defects reported in North America) and in-car experiences but is not an AI revenue generator. Risk protection: 6 (PROTECTED for manufacturing; EXPOSED for connected car/software). AI opportunity: 0. Total: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Stellantis Full Year 2025 Financial Results Press Release, February 2026</w:t>
      </w:r>
    </w:p>
    <w:p>
      <w:pPr>
        <w:spacing w:before="20" w:after="20"/>
        <w:ind w:left="170"/>
      </w:pPr>
      <w:r>
        <w:rPr>
          <w:rFonts w:ascii="Calibri" w:hAnsi="Calibri"/>
          <w:b/>
          <w:color w:val="4A6B25"/>
          <w:sz w:val="15"/>
        </w:rPr>
        <w:t xml:space="preserve">2. </w:t>
      </w:r>
      <w:r>
        <w:rPr>
          <w:rFonts w:ascii="Calibri" w:hAnsi="Calibri"/>
          <w:b w:val="0"/>
          <w:color w:val="3A4A28"/>
          <w:sz w:val="17"/>
        </w:rPr>
        <w:t>Stellantis CEO Antonio Filosa — CNBC Year of Execution Interview, January 2026</w:t>
      </w:r>
    </w:p>
    <w:p>
      <w:pPr>
        <w:spacing w:before="20" w:after="20"/>
        <w:ind w:left="170"/>
      </w:pPr>
      <w:r>
        <w:rPr>
          <w:rFonts w:ascii="Calibri" w:hAnsi="Calibri"/>
          <w:b/>
          <w:color w:val="4A6B25"/>
          <w:sz w:val="15"/>
        </w:rPr>
        <w:t xml:space="preserve">3. </w:t>
      </w:r>
      <w:r>
        <w:rPr>
          <w:rFonts w:ascii="Calibri" w:hAnsi="Calibri"/>
          <w:b w:val="0"/>
          <w:color w:val="3A4A28"/>
          <w:sz w:val="17"/>
        </w:rPr>
        <w:t>Stellantis Resets Its Business Press Release, February 2026</w:t>
      </w:r>
    </w:p>
    <w:p>
      <w:pPr>
        <w:spacing w:before="20" w:after="20"/>
        <w:ind w:left="170"/>
      </w:pPr>
      <w:r>
        <w:rPr>
          <w:rFonts w:ascii="Calibri" w:hAnsi="Calibri"/>
          <w:b/>
          <w:color w:val="4A6B25"/>
          <w:sz w:val="15"/>
        </w:rPr>
        <w:t xml:space="preserve">4. </w:t>
      </w:r>
      <w:r>
        <w:rPr>
          <w:rFonts w:ascii="Calibri" w:hAnsi="Calibri"/>
          <w:b w:val="0"/>
          <w:color w:val="3A4A28"/>
          <w:sz w:val="17"/>
        </w:rPr>
        <w:t>Stellantis EV Strategy Revision — ClubAlfa Global,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STLA key statistics, accessed March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