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STLD</w:t>
      </w:r>
      <w:r>
        <w:rPr>
          <w:rFonts w:ascii="Calibri" w:hAnsi="Calibri"/>
          <w:b/>
          <w:color w:val="1A2010"/>
          <w:sz w:val="40"/>
        </w:rPr>
        <w:t xml:space="preserve">  Steel Dynamics, Inc.</w:t>
      </w:r>
    </w:p>
    <w:p>
      <w:pPr>
        <w:spacing w:after="120"/>
      </w:pPr>
      <w:r>
        <w:rPr>
          <w:rFonts w:ascii="Calibri" w:hAnsi="Calibri"/>
          <w:b/>
          <w:color w:val="6E8450"/>
          <w:sz w:val="18"/>
        </w:rPr>
        <w:t>DIVIDEND SLEEVE · 2026-04-01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Steel · NASDAQ · United States</w:t>
      </w:r>
    </w:p>
    <w:p>
      <w:pPr>
        <w:spacing w:after="80"/>
      </w:pPr>
      <w:r>
        <w:rPr>
          <w:rFonts w:ascii="Calibri" w:hAnsi="Calibri"/>
          <w:b w:val="0"/>
          <w:color w:val="3A4A28"/>
          <w:sz w:val="20"/>
        </w:rPr>
        <w:t>Steel Dynamics is the third-largest carbon steel producer in the United States with 13 million tons of annual steelmaking capacity. The company operates through four segments: Steel Operations, Metals Recycling, Steel Fabrication, and Aluminum Operations. Its electric arc furnace (EAF) mini-mill model produces hot-rolled, cold-rolled, coated steel, structural steel, rail, and specialty bar products serving construction, automotive, energy, and industrial end markets.</w:t>
      </w:r>
    </w:p>
    <w:p>
      <w:r>
        <w:rPr>
          <w:rFonts w:ascii="Calibri" w:hAnsi="Calibri"/>
          <w:b/>
          <w:color w:val="6E8450"/>
          <w:sz w:val="18"/>
        </w:rPr>
        <w:t>14,400 Employees · https://www.steeldynamics.com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Steel Dynamics achieved record annual steel shipments of 13.7 million tons in 2025 and is ramping its transformative $2.7B greenfield aluminum flat-rolled operation in Columbus, Mississippi — opening an entirely new segment with qualified products for automotive, beverage can, and industrial customers [1][2]. AI Deployment (0/2): No evidence of AI-powered products or quantified AI-driven cost savings; the board has acknowledged AI as an emerging risk area but no deployed applications are publicly disclosed [3]. Market Share (2/2): STLD is the third-largest U.S. carbon steel producer and a top-three metals recycler in North America, with category leadership in steel joists and deck fabrication; fabrication backlog grew 35%+ YoY extending into Q3 2026 [1]. Pipeline (1/2): The aluminum flat-rolled division is ramping into a persistent domestic supply deficit enhanced by tariffs, with $600M in 2026 capex directed at high-return growth and advanced scrap separation technology, though specific next-gen product launch timelines are limited [2]. R&amp;D Intensity (1/1): Above-peer investment in EAF steelmaking technology, advanced scrap separation, and process innovation consistent with STLD's mini-mill culture of continuous operational improvement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Steel Dynamics' mission focuses on being the 'highest quality, lowest cost, most profitable metals-based solutions company in North America' — clear and operationally specific but fundamentally about competitive positioning rather than a deeper purpose beyond profit [4]. Community Impact (1/2): The company publishes sustainability reports and was named one of IBD's 100 Best ESG Companies in 2021 — the only U.S. steel producer recognized — with community presence in Fort Wayne, IN, though specific charitable dollar amounts are not prominently disclosed [5]. Employee Retention (1/2): CEO Millett's Comparably approval rating is in the Top 5% for similar-sized companies and STLD ranks 2nd in Overall Culture Score vs competitors; however, specific turnover or tenure data is not publicly available [3]. Insider Buying (0/2): Net insider selling over the past 12 months — SVP Miguel Alvarez sold $1.34M in shares in October 2025 and an additional $322K in February 2026, with broader insider sentiment negative; the company itself repurchased $900M in stock during 2025 but that is corporate, not personal conviction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Steel Dynamics' financial profile is exceptionally strong for a cyclical steel producer. D/E of 49.1% is well below the 70% target, reflecting conservative balance sheet management [7]. Forward P/E of 11.7x is attractively valued with Q1 2026 guidance of $2.73-2.77/share implying significant earnings acceleration from Q4's $1.82 [2]. Revenue grew 14% YoY (quarterly basis) to $18.2B annually in 2025 with record shipments of 13.7 million tons [1]. The 5-year revenue CAGR of approximately 13.6% exceeds the 10% target, reflecting Sinton mill ramp and organic growth. Profit margin of 6.5% is the main drag — typical for steel but well below the 20% target. ROE of 13.3% is slightly below the 15% target due to cyclical earnings compression. Dividend metrics are excellent: 25% payout ratio, 22 consecutive years paid, 13 consecutive years of growth, and a 5-year dividend growth CAGR of approximately 14.9% — well above the 6% target [7]. Liquidity is ample at $244M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Steel Dynamics under founder-CEO Mark Millett plays a predominantly infinite game — the company has consistently reinvested in growth through cycles, expanded into new segments (aluminum), and maintained a culture of decentralized entrepreneurship that empowers teams. However, the mission remains anchored in competitive positioning ('lowest cost, most profitable') rather than a transcendent just cause, keeping the overall score in the upper-MIXED range.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(1/3 -&gt; 4/10): Steel Dynamics' purpose centers on being the 'highest quality, lowest cost, most profitable metals-based solutions company' — this is a competitive goal, not a Just Cause in Sinek's framework [4]. While the company's sustainability emphasis ('Intentionally Sustainable') and commitment to circular manufacturing through recycled scrap add depth, the core mission is about operational excellence and profitability rather than a vision of a future state that invites sacrifice. The cause exists but is shallow — interchangeable with any ambitious manufacturer.</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(2/2 -&gt; 10/10): Steel Dynamics' decentralized operational model is a textbook example of Sinek's Circle of Safety — individual mills operate with significant autonomy, and performance-based compensation aligns incentives at every level [3]. CEO Millett's Top 5% Comparably approval rating and the company's A+ leadership grade from employees signal genuine trust. The culture of 'energetic, positive, driven, innovative, and diverse individuals' reflects empowerment over command-and-control. Founder Millett's 30+ year presence provides leadership continuity that fosters psychological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(1/1 -&gt; 10/10): Steel Dynamics competes against Nucor and Cleveland-Cliffs with a mindset focused on improving its own operational efficiency and technology rather than destroying competitors [1]. Management commentary consistently emphasizes internal metrics — lowest cost, highest quality, safest operations — rather than competitor takedowns. The aluminum expansion was driven by identifying a domestic supply gap, not by attacking incumbent aluminum producers.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(1/2 -&gt; 6/10): The $2.7B greenfield aluminum flat-rolled investment represents meaningful strategic evolution — a steel company entering an entirely new metal category to capture a domestic supply deficit [2]. The Sinton mega-mill and metals recycling vertical integration also show willingness to evolve. However, these are extensions of the core metals competency rather than the kind of transformative reinvention Sinek describes (e.g., Apple abandoning Mac for iPhone). The company adapts and expands within its domain but has not fundamentally reimagined its identity.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(2/2 -&gt; 10/10): Steel Dynamics has demonstrated a pattern of courage through multiple steel cycles — committing $2.7B to a greenfield aluminum operation during uncertain markets, ramping the Sinton flat-rolled mill despite initial startup challenges, and maintaining $600M in 2026 capex while simultaneously returning $900M to shareholders through buybacks [1][2]. Founder-CEO Millett's willingness to invest countercyclically and build new capacity when peers retrench reflects genuine long-term conviction over short-term earnings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Steel Dynamics is a best-in-class U.S. steel producer delivering accelerating earnings into 2026. Q1 2026 guidance of $2.73-2.77/share represents a 50%+ sequential improvement from Q4's $1.82 and 90%+ YoY growth from Q1 2025's $1.44, driven by metal margin expansion and increased shipments across the platform [1][2]. The company achieved record annual shipments of 13.7 million tons in 2025 on $18.2B revenue with the aluminum flat-rolled division ramping into a persistent domestic supply deficit enhanced by tariffs [1]. At 11.7x forward P/E with a fortress balance sheet (49% D/E), 22 consecutive years of dividends growing at ~15% CAGR, and $900M in annual buybacks, STLD offers compelling value. The fabrication backlog exceeding year-ago levels by 35%+ and extending into Q3 2026 — driven by data centers, warehouses, and healthcare construction — provides multi-quarter earnings visibility [2].</w:t>
      </w:r>
    </w:p>
    <w:p>
      <w:pPr>
        <w:spacing w:after="120"/>
      </w:pPr>
      <w:r>
        <w:rPr>
          <w:rFonts w:ascii="Calibri" w:hAnsi="Calibri"/>
          <w:b w:val="0"/>
          <w:color w:val="3A4A28"/>
          <w:sz w:val="20"/>
        </w:rPr>
        <w:t>The bear case centers on steel's inherent cyclicality and margin vulnerability. Profit margin of 6.5% is thin, and STLD's earnings swing dramatically with steel prices — 2025 net income fell 20% to $1.2B from $1.5B in 2024 despite record shipments, as average selling prices compressed [1]. ROE of 13.3% is below the 15% benchmark and well below the 30%+ levels achieved during the 2021-2022 steel supercycle. Trade policy risk is elevated: while current tariffs benefit domestic producers, policy reversals could flood the market with cheap imports. The Sinton mega-mill and aluminum ramp carry execution risk — the Sinton facility had costly startup issues in 2022-2023 before stabilizing. Net insider selling across the management team — SVP Alvarez sold $1.7M in shares over the past 6 months — signals those closest to the business may see limited near-term upside [6]. A construction downturn driven by higher interest rates could deflate the fabrication backlog that underpins the bull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earnings acceleration to $2.73-2.77/share with meaningfully higher steel operations profitability on metal margin expansion and increased shipments [2]</w:t>
      </w:r>
    </w:p>
    <w:p>
      <w:pPr>
        <w:spacing w:before="40" w:after="40"/>
        <w:ind w:left="283"/>
      </w:pPr>
      <w:r>
        <w:rPr>
          <w:rFonts w:ascii="Calibri" w:hAnsi="Calibri"/>
          <w:b/>
          <w:color w:val="4A6B25"/>
          <w:sz w:val="20"/>
        </w:rPr>
        <w:t xml:space="preserve">2. </w:t>
      </w:r>
      <w:r>
        <w:rPr>
          <w:rFonts w:ascii="Calibri" w:hAnsi="Calibri"/>
          <w:b w:val="0"/>
          <w:color w:val="3A4A28"/>
          <w:sz w:val="20"/>
        </w:rPr>
        <w:t>Aluminum flat-rolled division ramp into persistent domestic supply deficit, enhanced by tariff protection, providing significant through-cycle EBITDA contribution [1]</w:t>
      </w:r>
    </w:p>
    <w:p>
      <w:pPr>
        <w:spacing w:before="40" w:after="40"/>
        <w:ind w:left="283"/>
      </w:pPr>
      <w:r>
        <w:rPr>
          <w:rFonts w:ascii="Calibri" w:hAnsi="Calibri"/>
          <w:b/>
          <w:color w:val="4A6B25"/>
          <w:sz w:val="20"/>
        </w:rPr>
        <w:t xml:space="preserve">3. </w:t>
      </w:r>
      <w:r>
        <w:rPr>
          <w:rFonts w:ascii="Calibri" w:hAnsi="Calibri"/>
          <w:b w:val="0"/>
          <w:color w:val="3A4A28"/>
          <w:sz w:val="20"/>
        </w:rPr>
        <w:t>Fabrication backlog 35%+ above year-ago levels extending into Q3 2026, driven by data center, warehouse, manufacturing, and healthcare construction demand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Steel price cyclicality — profit margin compressed to 6.5% in 2025 despite record volumes, and a downturn in construction or industrial activity could further pressure margins [1]</w:t>
      </w:r>
    </w:p>
    <w:p>
      <w:pPr>
        <w:spacing w:before="40" w:after="40"/>
        <w:ind w:left="283"/>
      </w:pPr>
      <w:r>
        <w:rPr>
          <w:rFonts w:ascii="Calibri" w:hAnsi="Calibri"/>
          <w:b/>
          <w:color w:val="4A6B25"/>
          <w:sz w:val="20"/>
        </w:rPr>
        <w:t xml:space="preserve">2. </w:t>
      </w:r>
      <w:r>
        <w:rPr>
          <w:rFonts w:ascii="Calibri" w:hAnsi="Calibri"/>
          <w:b w:val="0"/>
          <w:color w:val="3A4A28"/>
          <w:sz w:val="20"/>
        </w:rPr>
        <w:t>Trade policy reversal risk — tariff rollbacks or trade deal changes could expose STLD to cheaper imported steel, compressing domestic pricing power [2]</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across senior management despite strong Q1 guidance may signal earnings acceleration is already priced into the stock near recent highs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Steel production is a fundamentally physical-world, capital-intensive industrial process that AI structurally cannot displace — melting scrap metal in electric arc furnaces, rolling steel, and fabricating structural components requires massive equipment, metallurgical expertise, and proximity to end markets [1]. STLD's EAF mini-mill model is already the most technologically advanced steelmaking process, and vertically integrated scrap recycling creates barriers AI cannot replicate. Furthermore, AI-driven demand for data centers directly benefits STLD through increased structural steel and fabrication orders — the fabrication backlog is 35%+ above year-ago levels, partly driven by data center construction [2]. Analysts see zero substitution risk for the core business. AI Opportunity (1/1): STLD generates indirect AI-related revenue through steel and fabrication products sold into data center construction, one of the company's fastest-growing end markets, with fabrication backlog extending into Q3 2026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Steel Dynamics Q4 and Annual 2025 Earnings Release — $18.2B revenue, $1.2B net income, record 13.7M ton shipments, January 2026</w:t>
      </w:r>
    </w:p>
    <w:p>
      <w:pPr>
        <w:spacing w:before="20" w:after="20"/>
        <w:ind w:left="170"/>
      </w:pPr>
      <w:r>
        <w:rPr>
          <w:rFonts w:ascii="Calibri" w:hAnsi="Calibri"/>
          <w:b/>
          <w:color w:val="4A6B25"/>
          <w:sz w:val="15"/>
        </w:rPr>
        <w:t xml:space="preserve">2. </w:t>
      </w:r>
      <w:r>
        <w:rPr>
          <w:rFonts w:ascii="Calibri" w:hAnsi="Calibri"/>
          <w:b w:val="0"/>
          <w:color w:val="3A4A28"/>
          <w:sz w:val="17"/>
        </w:rPr>
        <w:t>Steel Dynamics Q1 2026 Earnings Guidance — $2.73-2.77/share, fabrication backlog 35%+ above prior year, March 2026</w:t>
      </w:r>
    </w:p>
    <w:p>
      <w:pPr>
        <w:spacing w:before="20" w:after="20"/>
        <w:ind w:left="170"/>
      </w:pPr>
      <w:r>
        <w:rPr>
          <w:rFonts w:ascii="Calibri" w:hAnsi="Calibri"/>
          <w:b/>
          <w:color w:val="4A6B25"/>
          <w:sz w:val="15"/>
        </w:rPr>
        <w:t xml:space="preserve">3. </w:t>
      </w:r>
      <w:r>
        <w:rPr>
          <w:rFonts w:ascii="Calibri" w:hAnsi="Calibri"/>
          <w:b w:val="0"/>
          <w:color w:val="3A4A28"/>
          <w:sz w:val="17"/>
        </w:rPr>
        <w:t>Comparably — Steel Dynamics culture ratings, CEO approval Top 5%, leadership grade A+,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Steel Dynamics corporate website and mission statement — steeldynamics.com,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Investor's Business Daily — Steel Dynamics named one of 100 Best ESG Companies, 2021</w:t>
      </w:r>
    </w:p>
    <w:p>
      <w:pPr>
        <w:spacing w:before="20" w:after="20"/>
        <w:ind w:left="170"/>
      </w:pPr>
      <w:r>
        <w:rPr>
          <w:rFonts w:ascii="Calibri" w:hAnsi="Calibri"/>
          <w:b/>
          <w:color w:val="4A6B25"/>
          <w:sz w:val="15"/>
        </w:rPr>
        <w:t xml:space="preserve">6. </w:t>
      </w:r>
      <w:r>
        <w:rPr>
          <w:rFonts w:ascii="Calibri" w:hAnsi="Calibri"/>
          <w:b w:val="0"/>
          <w:color w:val="3A4A28"/>
          <w:sz w:val="17"/>
        </w:rPr>
        <w:t>MarketBeat / Yahoo Finance — STLD insider trading activity, net insider selling 2025-2026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yfinance data for STLD (Steel Dynamics),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