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STM</w:t>
      </w:r>
      <w:r>
        <w:rPr>
          <w:rFonts w:ascii="Calibri" w:hAnsi="Calibri"/>
          <w:b/>
          <w:color w:val="1A2010"/>
          <w:sz w:val="40"/>
        </w:rPr>
        <w:t xml:space="preserve">  STMicroelectronics N.V.</w:t>
      </w:r>
    </w:p>
    <w:p>
      <w:pPr>
        <w:spacing w:after="120"/>
      </w:pPr>
      <w:r>
        <w:rPr>
          <w:rFonts w:ascii="Calibri" w:hAnsi="Calibri"/>
          <w:b/>
          <w:color w:val="6E8450"/>
          <w:sz w:val="18"/>
        </w:rPr>
        <w:t>GROWTH SLEEVE · 2026-03-28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NYSE · Netherlands</w:t>
      </w:r>
    </w:p>
    <w:p>
      <w:pPr>
        <w:spacing w:after="80"/>
      </w:pPr>
      <w:r>
        <w:rPr>
          <w:rFonts w:ascii="Calibri" w:hAnsi="Calibri"/>
          <w:b w:val="0"/>
          <w:color w:val="3A4A28"/>
          <w:sz w:val="20"/>
        </w:rPr>
        <w:t>STMicroelectronics is a global semiconductor company designing and manufacturing chips for automotive, industrial, personal electronics, and communications markets. Key product areas include microcontrollers, MEMS sensors, power semiconductors (SiC and GaN), analog ICs, and edge AI solutions. The company operates manufacturing facilities across Europe and Asia with a 40-year history in the semiconductor industry.</w:t>
      </w:r>
    </w:p>
    <w:p>
      <w:r>
        <w:rPr>
          <w:rFonts w:ascii="Calibri" w:hAnsi="Calibri"/>
          <w:b/>
          <w:color w:val="6E8450"/>
          <w:sz w:val="18"/>
        </w:rPr>
        <w:t>49,157 Employees · https://www.st.com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STM has built a leading position in silicon carbide (SiC) power semiconductors for EVs and industrial applications, and pivoted into edge AI with dedicated microcontroller platforms [2]. The company expanded into cloud optical interconnect targeting ~$500M in data center/optical revenue by 2026 [1]. However, 2025 revenue declined 11% to $11.8B from $13.27B in 2024, reflecting a painful inventory correction cycle. AI Deployment (2/2): STM partnered with Synopsys to design a working chip using AI on Microsoft Azure — the first time AI was used for chip design in this manner [2]. The company is a leading provider of edge AI solutions for microcontrollers and sensors, and hired Remi El-Ouazzane (former Movidius CEO, former Intel AI Products COO) to lead digital and RF products [2]. Market Share (1/2): STM holds meaningful positions in automotive microcontrollers, MEMS sensors, and SiC power devices, but is not the dominant leader in any single semiconductor category — it competes against Texas Instruments, Infineon, NXP, and ON Semiconductor. Pipeline (1/2): The $500M data center optical revenue target for 2026 and continued SiC capacity expansion provide specific pipeline visibility, but broad semiconductor recovery timing remains uncertain [1]. R&amp;D Intensity (1/1): STM invests heavily in R&amp;D with a dedicated Chief Innovation Officer (Alessandro Cremonesi), a Technology Council developing 3-5 year roadmaps, and the '3-3-3' innovation model balancing internal, partner, and venture-driven initiatives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STM's purpose is 'creating technology that enables smarter mobility, more efficient power and energy management, and the wide-scale deployment of IoT and connectivity,' which is specific and connects to sustainability but is not deeply distinctive among semiconductor peers [2]. Community Impact (2/2): Sustainability has been integral to STM for 30+ years — the company achieved a 40% decrease in scopes 1 and 2 GHG emissions since 2018, targets carbon neutrality by 2027, has been a UN Global Compact signatory since 2000 and Responsible Business Alliance member since 2005 [3]. MSCI AAA ESG rating and CDP A List for climate demonstrate exceptional environmental stewardship. Employee Retention (1/2): CEO Jean-Marc Chery has been with STM since 1986 (40 years), rising through manufacturing, CTO, and COO roles — demonstrating deep institutional commitment [2]. However, the $300M restructuring program involves 2,800 job cuts globally (2,000+ in Italy, 1,000 in France), which undermines trust and signals organizational stress [2]. Insider Buying (0/2): No evidence of insider buying found; the company is a European-listed entity where insider purchase norms differ.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STM's infrastructure reflects a cyclically depressed semiconductor company with strong balance sheet foundations. D/E of 12.9% is exceptionally low, providing substantial financial flexibility [4]. ROE of 1.0% is depressed by the 2025 downcycle ($166M net income on $11.8B revenue) but should recover with the margin expansion expected in 2026 [1]. Revenue growth is flat at 0.2% YoY after an 11% decline from 2024, with 5yr CAGR of ~3.0% [4]. Forward P/E of 17.3x on $1.88 forward EPS implies significant earnings recovery is expected, yielding a very low PEG ratio given the extreme EPS growth from $0.18 to $1.88 [4]. Profit margin of 1.4% reflects the cyclical trough with $376M in impairment and restructuring charges depressing GAAP earnings [1]. Gross margin of 33.9% should improve as unused capacity charges of 220bps decline through 2026. $2.0-2.2B net capex planned for 2026 demonstrates continued investment in manufacturing capacity [1]. Liquidity floor easily cleared: $264.8M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STMicroelectronics demonstrates mixed infinite game characteristics. The 40-year company history, CEO Chery's 40-year tenure at the company, and 30+ years of sustainability commitment show institutional endurance. However, the $300M restructuring with 2,800 job cuts and the cyclical nature of the semiconductor business create finite pressures. The company invests for the long term ($2.2B capex, carbon neutrality by 2027) but is simultaneously cutting costs aggressively to manage the downcycle.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STM's purpose of enabling smarter technology for mobility, energy, and connectivity is genuine and has been sustained through 30+ years of sustainability commitment, UN Global Compact membership since 2000, and consistent R&amp;D investment through multiple semiconductor cycles [3]. The carbon neutrality by 2027 target demonstrates purpose beyond profit. However, the cause is not transformative in Sinek's terms — it describes what STM does rather than a future state worth sacrificing for.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Chery's 40-year tenure at STM (since 1986) and the company's Korn Ferry-style values framework (people, integrity, excellence) suggest stable organizational culture [2]. STM is a Responsible Business Alliance member with structured employee programs. However, the $300M restructuring program with 2,800 global job cuts — including 2,000+ in Italy and 1,000 in France — directly undermines trust and psychological safety, even if economically necessary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STM acknowledges competitor strengths through its '3-3-3' innovation model that includes partner-driven and venture-driven scouting channels alongside internal R&amp;D [2]. CEO Chery chairs the Global Semiconductor Alliance, which inherently recognizes and collaborates with industry rivals. The hiring of Remi El-Ouazzane from Intel's AI Products Group demonstrates learning from competitors rather than dismissing them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STM has evolved from a European telecom semiconductor company to a diversified automotive/industrial/IoT/AI chip maker over four decades [2]. Recent pivots include expanding into SiC power semiconductors for EVs, cloud optical interconnect for data centers, and edge AI — each representing meaningful business model evolution. These are incremental rather than transformative pivots, but they show consistent strategic adaptation to shifting semiconductor demand.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STM committed $2.0-2.2B in 2026 capex during a severe downcycle to build SiC and optical capacity for future demand — investing heavily when earnings are depressed requires conviction [1]. The $300M restructuring, while painful, demonstrates willingness to reshape the organization rather than maintain the status quo. The carbon neutrality by 2027 target is one of the most aggressive in the semiconductor industry [3]. However, these decisions are industry-standard countercyclical investment rather than uniquely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STMicroelectronics offers a compelling cyclical recovery play in semiconductors with AI upside. The company trades at 17.3x forward P/E with forward EPS of $1.88 — a 10x recovery from the trough $0.18 trailing EPS — as the inventory correction completes and margins inflect [1]. CEO Chery projects 20% YoY revenue growth in Q1 2026, ~$500M in data center/optical revenue for the full year, and improving gross margins throughout 2026 as unused capacity charges of 220bps decline [1]. The near-zero D/E of 12.9% provides exceptional balance sheet flexibility, and $2.0-2.2B in capex investment positions STM to capture SiC power semiconductor demand from EVs and data center power management [1]. STM's edge AI microcontroller platform, led by former Intel AI Products COO El-Ouazzane, differentiates the company in the growing IoT/edge computing market [2]. MSCI AAA ESG rating and carbon neutrality by 2027 target appeal to ESG-focused investors [3].</w:t>
      </w:r>
    </w:p>
    <w:p>
      <w:pPr>
        <w:spacing w:after="120"/>
      </w:pPr>
      <w:r>
        <w:rPr>
          <w:rFonts w:ascii="Calibri" w:hAnsi="Calibri"/>
          <w:b w:val="0"/>
          <w:color w:val="3A4A28"/>
          <w:sz w:val="20"/>
        </w:rPr>
        <w:t>The bear case centers on the depth and duration of the semiconductor downcycle. Revenue has fallen 32% from the $17.3B 2023 peak to $11.8B in 2025, with profit margin collapsing to 1.4% and $376M in impairment and restructuring charges [1]. The 5yr revenue CAGR of just 3% suggests STM may be a structurally lower-growth semiconductor company than peers like NXPI or ADI. The $300M restructuring with 2,800 job cuts signals significant organizational stress and margin pressure that may persist beyond 2026. STM's European manufacturing footprint creates structural cost disadvantages versus Asian competitors, and the S&amp;P outlook revision reflects ongoing credit concerns [1]. The automotive and industrial end markets that drive the majority of STM's revenue face cyclical headwinds (EV adoption slowdown, industrial destocking) that may delay the recovery beyond consensus expectations. Competition from Infineon, ON Semi, and Texas Instruments in SiC and power semiconductors is intensifying, potentially compressing the margins STM needs to justify $2B+ annual capex.</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Semiconductor inventory correction completion by Q2 2026 driving revenue re-acceleration — CEO Chery projects 20% YoY Q1 growth with margins improving sequentially through the year [1]</w:t>
      </w:r>
    </w:p>
    <w:p>
      <w:pPr>
        <w:spacing w:before="40" w:after="40"/>
        <w:ind w:left="283"/>
      </w:pPr>
      <w:r>
        <w:rPr>
          <w:rFonts w:ascii="Calibri" w:hAnsi="Calibri"/>
          <w:b/>
          <w:color w:val="4A6B25"/>
          <w:sz w:val="20"/>
        </w:rPr>
        <w:t xml:space="preserve">2. </w:t>
      </w:r>
      <w:r>
        <w:rPr>
          <w:rFonts w:ascii="Calibri" w:hAnsi="Calibri"/>
          <w:b w:val="0"/>
          <w:color w:val="3A4A28"/>
          <w:sz w:val="20"/>
        </w:rPr>
        <w:t>Data center optical interconnect revenue scaling toward ~$500M in 2026, establishing a new high-growth revenue stream tied to AI infrastructure buildout [1]</w:t>
      </w:r>
    </w:p>
    <w:p>
      <w:pPr>
        <w:spacing w:before="40" w:after="40"/>
        <w:ind w:left="283"/>
      </w:pPr>
      <w:r>
        <w:rPr>
          <w:rFonts w:ascii="Calibri" w:hAnsi="Calibri"/>
          <w:b/>
          <w:color w:val="4A6B25"/>
          <w:sz w:val="20"/>
        </w:rPr>
        <w:t xml:space="preserve">3. </w:t>
      </w:r>
      <w:r>
        <w:rPr>
          <w:rFonts w:ascii="Calibri" w:hAnsi="Calibri"/>
          <w:b w:val="0"/>
          <w:color w:val="3A4A28"/>
          <w:sz w:val="20"/>
        </w:rPr>
        <w:t>SiC power semiconductor capacity expansion capturing secular EV and data center power management demand, supported by $2.0-2.2B annual capex investment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Extended semiconductor downcycle — 32% peak-to-trough revenue decline could deepen if automotive and industrial end markets remain weak beyond mid-2026 [1]</w:t>
      </w:r>
    </w:p>
    <w:p>
      <w:pPr>
        <w:spacing w:before="40" w:after="40"/>
        <w:ind w:left="283"/>
      </w:pPr>
      <w:r>
        <w:rPr>
          <w:rFonts w:ascii="Calibri" w:hAnsi="Calibri"/>
          <w:b/>
          <w:color w:val="4A6B25"/>
          <w:sz w:val="20"/>
        </w:rPr>
        <w:t xml:space="preserve">2. </w:t>
      </w:r>
      <w:r>
        <w:rPr>
          <w:rFonts w:ascii="Calibri" w:hAnsi="Calibri"/>
          <w:b w:val="0"/>
          <w:color w:val="3A4A28"/>
          <w:sz w:val="20"/>
        </w:rPr>
        <w:t>European cost structure disadvantage — 49,157 employees across high-cost European manufacturing sites face $300M restructuring and 2,800 job cuts, with risk of labor/regulatory resistance in Italy and France [2]</w:t>
      </w:r>
    </w:p>
    <w:p>
      <w:pPr>
        <w:spacing w:before="40" w:after="40"/>
        <w:ind w:left="283"/>
      </w:pPr>
      <w:r>
        <w:rPr>
          <w:rFonts w:ascii="Calibri" w:hAnsi="Calibri"/>
          <w:b/>
          <w:color w:val="4A6B25"/>
          <w:sz w:val="20"/>
        </w:rPr>
        <w:t xml:space="preserve">3. </w:t>
      </w:r>
      <w:r>
        <w:rPr>
          <w:rFonts w:ascii="Calibri" w:hAnsi="Calibri"/>
          <w:b w:val="0"/>
          <w:color w:val="3A4A28"/>
          <w:sz w:val="20"/>
        </w:rPr>
        <w:t>SiC competition intensification — Infineon, ON Semiconductor, and Wolfspeed are aggressively expanding SiC capacity, potentially creating oversupply and margin compression in STM's key growth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STMicroelectronics manufactures the physical semiconductor chips that enable AI — the company IS AI infrastructure at the edge. AI cannot disrupt semiconductor fabrication; if anything, AI adoption increases demand for STM's microcontrollers, sensors, and power management ICs in edge computing, automotive ADAS, and IoT applications [2]. CEO Chery projects ~$500M in data center/optical revenue in 2026 and expects AI servers to contribute substantially to revenue by end of decade [1]. The SiC power semiconductor business benefits from EV and data center power demand growth. Semiconductor fabs represent $2B+ annual capex physical infrastructure that AI cannot substitute. AI Opportunity (1/1): STM generates quantifiable AI-related revenue through its edge AI microcontroller and sensor platforms, the partnership with Synopsys for AI-assisted chip design, and the growing data center optical interconnect business targeting $500M in 2026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STMicroelectronics Q4 2025 Results and Q1 2026 Guidance — $11.8B revenue, $166M net income, 20% Q1 YoY growth, $500M optical target, $2.2B capex, January 2026</w:t>
      </w:r>
    </w:p>
    <w:p>
      <w:pPr>
        <w:spacing w:before="20" w:after="20"/>
        <w:ind w:left="170"/>
      </w:pPr>
      <w:r>
        <w:rPr>
          <w:rFonts w:ascii="Calibri" w:hAnsi="Calibri"/>
          <w:b/>
          <w:color w:val="4A6B25"/>
          <w:sz w:val="15"/>
        </w:rPr>
        <w:t xml:space="preserve">2. </w:t>
      </w:r>
      <w:r>
        <w:rPr>
          <w:rFonts w:ascii="Calibri" w:hAnsi="Calibri"/>
          <w:b w:val="0"/>
          <w:color w:val="3A4A28"/>
          <w:sz w:val="17"/>
        </w:rPr>
        <w:t>STMicroelectronics Leadership and Innovation — CEO Chery (40yr tenure), El-Ouazzane (ex-Intel AI), Synopsys AI chip design, edge AI platform, $300M restructuring, March 2026</w:t>
      </w:r>
    </w:p>
    <w:p>
      <w:pPr>
        <w:spacing w:before="20" w:after="20"/>
        <w:ind w:left="170"/>
      </w:pPr>
      <w:r>
        <w:rPr>
          <w:rFonts w:ascii="Calibri" w:hAnsi="Calibri"/>
          <w:b/>
          <w:color w:val="4A6B25"/>
          <w:sz w:val="15"/>
        </w:rPr>
        <w:t xml:space="preserve">3. </w:t>
      </w:r>
      <w:r>
        <w:rPr>
          <w:rFonts w:ascii="Calibri" w:hAnsi="Calibri"/>
          <w:b w:val="0"/>
          <w:color w:val="3A4A28"/>
          <w:sz w:val="17"/>
        </w:rPr>
        <w:t>STMicroelectronics ESG — MSCI AAA rating, CDP A List climate, carbon neutral 2027 target, 40% GHG reduction since 2018, UN Global Compact since 2000, Sustainalytics Strong,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STM, financial metrics, dividend history,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