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STNE</w:t>
      </w:r>
      <w:r>
        <w:rPr>
          <w:rFonts w:ascii="Calibri" w:hAnsi="Calibri"/>
          <w:b/>
          <w:color w:val="1A2010"/>
          <w:sz w:val="40"/>
        </w:rPr>
        <w:t xml:space="preserve">  StoneCo Ltd.</w:t>
      </w:r>
    </w:p>
    <w:p>
      <w:pPr>
        <w:spacing w:after="120"/>
      </w:pPr>
      <w:r>
        <w:rPr>
          <w:rFonts w:ascii="Calibri" w:hAnsi="Calibri"/>
          <w:b/>
          <w:color w:val="6E8450"/>
          <w:sz w:val="18"/>
        </w:rPr>
        <w:t>GROWTH SLEEVE · 2026-03-31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Cayman Islands</w:t>
      </w:r>
    </w:p>
    <w:p>
      <w:pPr>
        <w:spacing w:after="80"/>
      </w:pPr>
      <w:r>
        <w:rPr>
          <w:rFonts w:ascii="Calibri" w:hAnsi="Calibri"/>
          <w:b w:val="0"/>
          <w:color w:val="3A4A28"/>
          <w:sz w:val="20"/>
        </w:rPr>
        <w:t>StoneCo Ltd. is a Brazilian financial technology company providing payment processing, digital banking, credit solutions, and enterprise software to micro, small, and medium-sized businesses across in-store, online, and mobile channels in Brazil.</w:t>
      </w:r>
    </w:p>
    <w:p>
      <w:r>
        <w:rPr>
          <w:rFonts w:ascii="Calibri" w:hAnsi="Calibri"/>
          <w:b/>
          <w:color w:val="6E8450"/>
          <w:sz w:val="18"/>
        </w:rPr>
        <w:t>https://www.stoneco.com.br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StoneCo has successfully pivoted from a pure payments processor to a full financial services platform, divesting non-core assets like Linx and launching banking, credit, and insurance products under CEO Zinner's strategic reorganization [1][2]. The credit portfolio is expected to become a meaningful P&amp;L contributor in 2026 [1]. AI Deployment (0/2): No AI-powered products shipping or quantified AI-driven cost savings; the company appointed an AI expert (Attentive CTO) to the board in 2024 but has not yet deployed AI products [3]. Market Share Leadership (2/2): Stone is the leading independent acquirer for SMBs in Brazil with over 2 million active payment clients, growing the payments client base 17% YoY, and has established itself as Brazil's leading retail software provider [1][2]. Product Pipeline (2/2): Clear pipeline visibility with credit portfolio expansion, banking services scaling, and management guidance for industry growth in high-single to low-double digits in 2026 with $1.1B+ in contract bookings implied [1]. R&amp;D Intensity (1/1): As a technology-first fintech, StoneCo invests heavily in its cloud-based technology platforms and proprietary distribution infrastructure, consistent with top-quartile tech spending in the Brazilian fintech sector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StoneCo's purpose to 'transform the financial lives of entrepreneurs' by providing fair-priced financial technology to underserved Brazilian SMBs is clear and identifies a specific underserved population, but is not uniquely distinctive among Brazilian fintechs [4]. Community &amp; Charitable Impact (1/2): Stone Institute, launched April 2024, manages social investment with formal governance including Deliberative and Fiscal Councils, Impact Thesis guidelines, and continuous monitoring — a structured but early-stage philanthropic effort [5]. Employee Retention (0/2): Management team average tenure of just 1.8 years and board tenure of 2.1 years, combined with Indeed reviews citing 'poor leadership' and 'lack of communication,' suggest a high-turnover organization [3]. Insider Buying (2/2): StoneCo has executed an aggressive double-digit buyback yield, with management explicitly signaling confidence in the stock's undervaluation through significant capital returns — a strong alignment signal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StoneCo scores exceptionally well on profitability and growth: ROE of 20.8% exceeds the 15% target (score 1.0), Forward P/E of 5.86 is deeply below the 20 target (score 1.0), revenue growth of 11.2% YoY exceeds the 10% target (score 1.0), and 5yr revenue CAGR of ~40% far exceeds the 10% target (score 1.0) [1][6]. Profit margin of 17.3% approaches the 20% target (score 0.87). The only material weakness is D/E at 159.3%, scoring 0.61 against the 70% target, reflecting the credit expansion strategy's balance sheet impact [6]. PEG ratio unavailable, excluded from calculation. Weighted sum 7.48 / max 8.0 = 9.35, rounded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StoneCo demonstrates a genuine cause in empowering Brazilian entrepreneurs through financial technology, and leadership has shown courage in divesting non-core assets and pivoting strategy. However, frequent leadership turnover (three CEOs in four years), short management tenure, and a finite competitive framing undermine infinite 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StoneCo's purpose of transforming the financial lives of Brazilian entrepreneurs — particularly underserved SMBs who were historically overcharged by large banks — is a genuine, inclusive, and service-oriented cause. The company grew from 103,000 to 2M+ clients under this vision [2][4]. However, the cause hasn't survived a true leadership test — the company has had three CEOs in four years (Piau, Zinner, Scherer), suggesting the cause may not yet transcend individual leaders.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but not exceptional. The January 2026 CEO transition from Zinner to Scherer was described as smooth with 'continuity and execution' emphasized, and Scherer has been with the company since its early days [3]. However, management average tenure of 1.8 years is very low, Indeed reviews cite poor leadership and communication, and the rapid leadership churn creates organizational instability that undermines deep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StoneCo frames competition in finite terms — market share gains, client acquisition rates, and positioning as 'the leading independent acquirer.' No evidence of management citing PagSeguro, Nubank, or traditional banks as worthy rivals whose strengths push Stone to improve [1][2]. The competitive language is about winning Brazilian fintech market share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StoneCo has evolved from a pure payments processor to a full financial services platform, launching banking, credit, and insurance products and divesting the Linx software business when it proved non-core [1][2]. CEO Zinner's strategic reorganization demonstrated willingness to abandon the 'acquire everything' strategy in favor of focused financial services. These are meaningful but incremental evolutions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Zinner, StoneCo made the difficult decision to divest Linx (its largest acquisition) and streamline operations, choosing long-term focus over short-term revenue breadth [2]. The aggressive buyback program during a period of stock price weakness demonstrates conviction. However, the rapid CEO succession (three in four years) and forward guidance deceleration to mid-single-digit revenue growth suggest the company may be prioritizing near-term profitability optimization over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StoneCo offers compelling value as a profitable, growing Brazilian fintech trading at 5.9x forward earnings with a 20.8% ROE and 73.6% gross margins [1][6]. The company has successfully transitioned from a pure payments processor to a full financial services platform, with the credit portfolio expected to become a meaningful earnings driver in 2026 and management executing an aggressive buyback program signaling confidence in undervaluation [1]. Active payments clients grew 17% YoY to over 2M, and the 77.4% three-year EPS CAGR demonstrates exceptional operating leverage.</w:t>
      </w:r>
    </w:p>
    <w:p>
      <w:pPr>
        <w:spacing w:after="120"/>
      </w:pPr>
      <w:r>
        <w:rPr>
          <w:rFonts w:ascii="Calibri" w:hAnsi="Calibri"/>
          <w:b w:val="0"/>
          <w:color w:val="3A4A28"/>
          <w:sz w:val="20"/>
        </w:rPr>
        <w:t>The bear case centers on growth deceleration and Brazil macro risk. Analysts expect forward two-year revenue growth of just 6.4% and EBITDA growth of 1.5%, a sharp deceleration from the 40%+ historical revenue CAGR that triggered a 19% stock decline after earnings [1]. The credit expansion strategy increases balance sheet risk — D/E of 159% will rise as the credit portfolio scales, and Brazilian interest rate volatility (Selic rate) directly impacts credit margins and provisioning [6]. CEO churn (three CEOs in four years) creates execution uncertainty during the critical financial services pivot, and competition from Nubank, PagSeguro, and traditional banks intensifies as the Brazilian digital payments market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portfolio scaling in 2026 expected to become a meaningful P&amp;L contributor, potentially reigniting revenue and earnings growth above the 6.4% forward consensus [1]</w:t>
      </w:r>
    </w:p>
    <w:p>
      <w:pPr>
        <w:spacing w:before="40" w:after="40"/>
        <w:ind w:left="283"/>
      </w:pPr>
      <w:r>
        <w:rPr>
          <w:rFonts w:ascii="Calibri" w:hAnsi="Calibri"/>
          <w:b/>
          <w:color w:val="4A6B25"/>
          <w:sz w:val="20"/>
        </w:rPr>
        <w:t xml:space="preserve">2. </w:t>
      </w:r>
      <w:r>
        <w:rPr>
          <w:rFonts w:ascii="Calibri" w:hAnsi="Calibri"/>
          <w:b w:val="0"/>
          <w:color w:val="3A4A28"/>
          <w:sz w:val="20"/>
        </w:rPr>
        <w:t>Aggressive share buyback program at a double-digit yield provides downside support and signals management conviction in the stock's undervaluation at 5.9x forward P/E [1]</w:t>
      </w:r>
    </w:p>
    <w:p>
      <w:pPr>
        <w:spacing w:before="40" w:after="40"/>
        <w:ind w:left="283"/>
      </w:pPr>
      <w:r>
        <w:rPr>
          <w:rFonts w:ascii="Calibri" w:hAnsi="Calibri"/>
          <w:b/>
          <w:color w:val="4A6B25"/>
          <w:sz w:val="20"/>
        </w:rPr>
        <w:t xml:space="preserve">3. </w:t>
      </w:r>
      <w:r>
        <w:rPr>
          <w:rFonts w:ascii="Calibri" w:hAnsi="Calibri"/>
          <w:b w:val="0"/>
          <w:color w:val="3A4A28"/>
          <w:sz w:val="20"/>
        </w:rPr>
        <w:t>ROE expansion from 16% to 24% over the past year demonstrates improving capital efficiency that could attract value investors as the financial services pivot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mid-single digits from 40%+ historical CAGR could compress the multiple further if the credit expansion fails to reignite top-line momentum [1]</w:t>
      </w:r>
    </w:p>
    <w:p>
      <w:pPr>
        <w:spacing w:before="40" w:after="40"/>
        <w:ind w:left="283"/>
      </w:pPr>
      <w:r>
        <w:rPr>
          <w:rFonts w:ascii="Calibri" w:hAnsi="Calibri"/>
          <w:b/>
          <w:color w:val="4A6B25"/>
          <w:sz w:val="20"/>
        </w:rPr>
        <w:t xml:space="preserve">2. </w:t>
      </w:r>
      <w:r>
        <w:rPr>
          <w:rFonts w:ascii="Calibri" w:hAnsi="Calibri"/>
          <w:b w:val="0"/>
          <w:color w:val="3A4A28"/>
          <w:sz w:val="20"/>
        </w:rPr>
        <w:t>Brazilian macroeconomic volatility — particularly Selic rate changes and BRL depreciation — directly impacts credit provisioning, net interest margins, and USD-denominated returns for foreign investors [6]</w:t>
      </w:r>
    </w:p>
    <w:p>
      <w:pPr>
        <w:spacing w:before="40" w:after="40"/>
        <w:ind w:left="283"/>
      </w:pPr>
      <w:r>
        <w:rPr>
          <w:rFonts w:ascii="Calibri" w:hAnsi="Calibri"/>
          <w:b/>
          <w:color w:val="4A6B25"/>
          <w:sz w:val="20"/>
        </w:rPr>
        <w:t xml:space="preserve">3. </w:t>
      </w:r>
      <w:r>
        <w:rPr>
          <w:rFonts w:ascii="Calibri" w:hAnsi="Calibri"/>
          <w:b w:val="0"/>
          <w:color w:val="3A4A28"/>
          <w:sz w:val="20"/>
        </w:rPr>
        <w:t>Three CEO transitions in four years creates strategic continuity risk during the critical pivot from payments to full financial services, with new CEO Scherer untested in the top role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StoneCo's core business — physical payment terminals, hyper-local sales hubs, regulated banking and credit services in Brazil — involves deeply embedded infrastructure, regulatory licensing, and physical distribution that AI cannot replicate [4]. The Brazilian financial regulatory environment (Central Bank oversight, Pix integration) adds a protective layer. Some back-office and customer service functions could face AI-driven efficiency pressure, but the core acquiring and banking infrastructure is structurally protected [1]. AI Opportunity (0/1): No quantifiable AI revenue; the appointment of an AI expert to the board signals future interest but no AI products or revenue exist today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TIKR.com — 'StoneCo Stock Tumbles 19% After Earnings Report: What the 2026 Outlook Means,' March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'How StoneCo's Leadership Shake-Up Has Changed Its Investment Story,' January 2026</w:t>
      </w:r>
    </w:p>
    <w:p>
      <w:pPr>
        <w:spacing w:before="20" w:after="20"/>
        <w:ind w:left="170"/>
      </w:pPr>
      <w:r>
        <w:rPr>
          <w:rFonts w:ascii="Calibri" w:hAnsi="Calibri"/>
          <w:b/>
          <w:color w:val="4A6B25"/>
          <w:sz w:val="15"/>
        </w:rPr>
        <w:t xml:space="preserve">3. </w:t>
      </w:r>
      <w:r>
        <w:rPr>
          <w:rFonts w:ascii="Calibri" w:hAnsi="Calibri"/>
          <w:b w:val="0"/>
          <w:color w:val="3A4A28"/>
          <w:sz w:val="17"/>
        </w:rPr>
        <w:t>StoneCo CEO transition announcements and board changes, PRNewswire and Yahoo Finance, January 2026</w:t>
      </w:r>
    </w:p>
    <w:p>
      <w:pPr>
        <w:spacing w:before="20" w:after="20"/>
        <w:ind w:left="170"/>
      </w:pPr>
      <w:r>
        <w:rPr>
          <w:rFonts w:ascii="Calibri" w:hAnsi="Calibri"/>
          <w:b/>
          <w:color w:val="4A6B25"/>
          <w:sz w:val="15"/>
        </w:rPr>
        <w:t xml:space="preserve">4. </w:t>
      </w:r>
      <w:r>
        <w:rPr>
          <w:rFonts w:ascii="Calibri" w:hAnsi="Calibri"/>
          <w:b w:val="0"/>
          <w:color w:val="3A4A28"/>
          <w:sz w:val="17"/>
        </w:rPr>
        <w:t>StoneCo company website — About Us, mission, and Impact/Sustainability pages,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StoneCo Ltd. ESG data — Sustainalytics, S&amp;P Global, and StoneCo IR sustainability page, accessed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STNE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