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STRC</w:t>
      </w:r>
      <w:r>
        <w:rPr>
          <w:rFonts w:ascii="Calibri" w:hAnsi="Calibri"/>
          <w:b/>
          <w:color w:val="1A2010"/>
          <w:sz w:val="40"/>
        </w:rPr>
        <w:t xml:space="preserve">  Strategy Inc.</w:t>
      </w:r>
    </w:p>
    <w:p>
      <w:pPr>
        <w:spacing w:after="120"/>
      </w:pPr>
      <w:r>
        <w:rPr>
          <w:rFonts w:ascii="Calibri" w:hAnsi="Calibri"/>
          <w:b/>
          <w:color w:val="6E8450"/>
          <w:sz w:val="18"/>
        </w:rPr>
        <w:t>GROWTH SLEEVE · 2026-04-26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Strategy Inc. (formerly MicroStrategy) operates as a Bitcoin treasury company and enterprise analytics software provider. The company holds 815,061 BTC as its primary treasury reserve asset and offers the Strategy ONE AI-powered business intelligence platform. STRC is the company's variable rate preferred security, providing investors fixed-income exposure to the Strategy Inc. capital structure with a current yield of approximately 11.55%.</w:t>
      </w:r>
    </w:p>
    <w:p>
      <w:r>
        <w:rPr>
          <w:rFonts w:ascii="Calibri" w:hAnsi="Calibri"/>
          <w:b/>
          <w:color w:val="6E8450"/>
          <w:sz w:val="18"/>
        </w:rPr>
        <w:t>1,539 Employees · https://www.strategy.com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Strategy Inc. pioneered the corporate Bitcoin treasury strategy, accumulating 815,061 BTC and raising $25.3B in capital in 2025 alone to fund purchases — a genuine financial innovation that created an entirely new corporate model [1]. The company also rebranded from MicroStrategy to Strategy in February 2025 to reflect its Bitcoin-first identity. AI Deployment (1/2): Strategy ONE is an AI-powered enterprise analytics platform that integrates advanced AI for data-driven decisions, though Subscription Services revenue of $123M quarterly (62% YoY growth) remains small relative to the overall capital structure [1][3]. Market Share (1/2): Strategy is the world's largest corporate Bitcoin holder by a wide margin, defining the category it created, though the legacy BI software business has lost share to Tableau, Power BI, and Looker over the past decade [1]. Pipeline (1/2): Continued Bitcoin accumulation with $8.1B available under the Common Stock ATM and $29B across preferred ATM programs, plus Strategy ONE cloud migration [1]. R&amp;D Intensity (0/1): R&amp;D spending is below industry average for a software company, as capital allocation heavily favors Bitcoin purchases over product development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Strategy's effective mission is Bitcoin accumulation and advocacy — Michael Saylor's vision of Bitcoin as a long-term store of value is deeply held but narrow. It is more of a financial thesis than a transformative purpose that invites broad participation and serves others [3]. The company's logo now includes a stylized 'B' for Bitcoin. Community Impact (1/2): The Bitcoin advocacy work has created educational resources and a community of corporate Bitcoin adopters, though this serves financial interests rather than broader social benefit [3]. Employee Retention (0/2): Glassdoor rating of 2.8/5 (27% below IT industry average) with reports of toxic engineering leadership, a culture of fear where dissent is punished, and innovation being stifled — this is a significant red flag for inspiration [4]. Insider Buying (1/2): Meaningful insider buying identified — CEO Phong Le purchased shares in March 2026 ($250K) and January 2026; Director Jarrod Patten purchased $2.3M in October 2025; General Counsel Wei-Ming Shao purchased $1.2M in September 2025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Strategy Inc.'s financial profile is heavily distorted by its Bitcoin treasury operations. D/E is extreme at 1,615.8% reflecting the massive debt used to fund Bitcoin purchases — the company raised $25.3B in 2025 through various debt and equity instruments [1]. ROE is negative at -11.1% with a net loss of $3.85B in FY2025 (vs. -$1.17B in FY2024) driven by Bitcoin impairment charges and interest expenses [5]. Software revenue was essentially flat at $477.2M (1.9% YoY growth), and the 3-year revenue CAGR is -1.5%, reflecting a stagnant underlying business [5]. Profit margin is approximately 0%. No forward P/E or PEG available as the company is unprofitable on a GAAP basis. Liquidity floor easily cleared: 2.49M avg volume × $99.53 = $248M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Strategy Inc. under Michael Saylor's vision is playing a paradoxically finite game despite the long-term nature of Bitcoin. The company's singular focus on Bitcoin accumulation through aggressive leverage is a concentrated bet on a specific financial outcome — the antithesis of the diversified, adaptive thinking Sinek advocates. The culture of fear reported on Glassdoor and the neglect of the software business suggest short-term financial optimization over enduring organizational health.</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Saylor's Bitcoin thesis — that Bitcoin is the ultimate store of value and corporations should hold it as a treasury asset — is deeply held and has been consistent since 2020. It has attracted followers and created a movement [1][3]. However, this is a financial thesis, not a Just Cause in Sinek's definition. It doesn't describe a future state that benefits others beyond financial gains. It's 'own Bitcoin' not 'build something better.' Score: 1/3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2.8/5 with specific complaints about 'toxic engineering leadership' and 'a culture of fear where dissent is punished, which has killed innovation and critical thinking' [4]. This is the antithesis of Sinek's Circle of Safety. When employees cannot challenge leadership or take risks without fear, the organization is playing a finite game regardless of its stated ambitions. Score: 0/2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Strategy's competitive framing in the Bitcoin space is maximalist — Saylor frequently positions Bitcoin as superior to all other assets (gold, real estate, equities) rather than acknowledging rivals' strengths. In the BI software space, the company has largely ceded ground to competitors without learning from their advantages [3]. Score: 0/1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enterprise BI software company to Bitcoin treasury company was a dramatic strategic transformation — one of the most radical corporate pivots in public market history [1][3]. Whether this was driven by a Just Cause or financial desperation is debatable, but the willingness to fundamentally redefine the company is undeniable.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Saylor and CEO Le have shown conviction by continuing Bitcoin purchases through bear markets, including major accumulations when Bitcoin dropped below $20K in 2022. Raising $25.3B in 2025 to buy Bitcoin at elevated prices requires genuine conviction [1]. However, this courage is narrowly focused on one financial bet rather than building organizational capability or investing in the software business.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STRC is Strategy Inc.'s variable rate preferred security offering approximately 11.55% yield backed by the capital structure of the world's largest corporate Bitcoin holder (815,061 BTC) [1]. The preferred provides income exposure to Strategy's Bitcoin-leveraged balance sheet with priority over common equity. The underlying company raised $25.3B in 2025 to fund Bitcoin accumulation, and Subscription Services in the legacy BI platform grew 62% YoY to $123M quarterly [1]. CEO Phong Le and multiple insiders have been actively purchasing shares, with $4.2M+ in insider buying over the past 12 months [5]. The stock trades near par (~$99.53) with robust daily liquidity of $248M.</w:t>
      </w:r>
    </w:p>
    <w:p>
      <w:pPr>
        <w:spacing w:after="120"/>
      </w:pPr>
      <w:r>
        <w:rPr>
          <w:rFonts w:ascii="Calibri" w:hAnsi="Calibri"/>
          <w:b w:val="0"/>
          <w:color w:val="3A4A28"/>
          <w:sz w:val="20"/>
        </w:rPr>
        <w:t>The bear case is dominated by extraordinary leverage and concentration risk. Strategy's D/E ratio of 1,615.8% reflects $25.3B+ in capital raised primarily through debt and equity to buy Bitcoin — a single, volatile asset with 50%+ drawdown history [1][5]. A severe Bitcoin bear market could trigger a liquidity crisis that threatens the preferred's dividend payments and principal. The software business (revenue flat at $477M with -1.5% 3-year CAGR) is being neglected in favor of Bitcoin, and Glassdoor ratings of 2.8/5 suggest organizational decay [4]. The company lost $3.85B in FY2025 on a GAAP basis. STRC holders face subordination risk if additional debt layers are added to fund Bitcoin purchases. The entire investment thesis rests on Bitcoin's long-term appreciation — if Bitcoin stagnates or declines materially, the leveraged structure could impair the preferred's recovery value. ESG concerns around Bitcoin's energy consumption add reputational risk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Bitcoin price appreciation driving asset value growth — each 10% Bitcoin increase adds roughly $7B+ to Strategy's treasury value, supporting the capital structure backing STRC [1]</w:t>
      </w:r>
    </w:p>
    <w:p>
      <w:pPr>
        <w:spacing w:before="40" w:after="40"/>
        <w:ind w:left="283"/>
      </w:pPr>
      <w:r>
        <w:rPr>
          <w:rFonts w:ascii="Calibri" w:hAnsi="Calibri"/>
          <w:b/>
          <w:color w:val="4A6B25"/>
          <w:sz w:val="20"/>
        </w:rPr>
        <w:t xml:space="preserve">2. </w:t>
      </w:r>
      <w:r>
        <w:rPr>
          <w:rFonts w:ascii="Calibri" w:hAnsi="Calibri"/>
          <w:b w:val="0"/>
          <w:color w:val="3A4A28"/>
          <w:sz w:val="20"/>
        </w:rPr>
        <w:t>Subscription Services 62% YoY growth demonstrating the Strategy ONE cloud/AI platform's competitive viability and providing a revenue floor independent of Bitcoin [1]</w:t>
      </w:r>
    </w:p>
    <w:p>
      <w:pPr>
        <w:spacing w:before="40" w:after="40"/>
        <w:ind w:left="283"/>
      </w:pPr>
      <w:r>
        <w:rPr>
          <w:rFonts w:ascii="Calibri" w:hAnsi="Calibri"/>
          <w:b/>
          <w:color w:val="4A6B25"/>
          <w:sz w:val="20"/>
        </w:rPr>
        <w:t xml:space="preserve">3. </w:t>
      </w:r>
      <w:r>
        <w:rPr>
          <w:rFonts w:ascii="Calibri" w:hAnsi="Calibri"/>
          <w:b w:val="0"/>
          <w:color w:val="3A4A28"/>
          <w:sz w:val="20"/>
        </w:rPr>
        <w:t>Continued insider buying by CEO Le and directors signals management confidence in the capital structure's sustainability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(D/E 1,615.8%) concentrated in a single volatile asset — a 50%+ Bitcoin drawdown (which has occurred multiple times historically) could threaten STRC dividend payments and principal value [1][5]</w:t>
      </w:r>
    </w:p>
    <w:p>
      <w:pPr>
        <w:spacing w:before="40" w:after="40"/>
        <w:ind w:left="283"/>
      </w:pPr>
      <w:r>
        <w:rPr>
          <w:rFonts w:ascii="Calibri" w:hAnsi="Calibri"/>
          <w:b/>
          <w:color w:val="4A6B25"/>
          <w:sz w:val="20"/>
        </w:rPr>
        <w:t xml:space="preserve">2. </w:t>
      </w:r>
      <w:r>
        <w:rPr>
          <w:rFonts w:ascii="Calibri" w:hAnsi="Calibri"/>
          <w:b w:val="0"/>
          <w:color w:val="3A4A28"/>
          <w:sz w:val="20"/>
        </w:rPr>
        <w:t>Organizational culture deterioration with 2.8/5 Glassdoor rating and reports of toxic leadership and innovation suppression, threatening the viability of the software business that provides non-Bitcoin revenue [4]</w:t>
      </w:r>
    </w:p>
    <w:p>
      <w:pPr>
        <w:spacing w:before="40" w:after="40"/>
        <w:ind w:left="283"/>
      </w:pPr>
      <w:r>
        <w:rPr>
          <w:rFonts w:ascii="Calibri" w:hAnsi="Calibri"/>
          <w:b/>
          <w:color w:val="4A6B25"/>
          <w:sz w:val="20"/>
        </w:rPr>
        <w:t xml:space="preserve">3. </w:t>
      </w:r>
      <w:r>
        <w:rPr>
          <w:rFonts w:ascii="Calibri" w:hAnsi="Calibri"/>
          <w:b w:val="0"/>
          <w:color w:val="3A4A28"/>
          <w:sz w:val="20"/>
        </w:rPr>
        <w:t>Regulatory risk — potential government restrictions on corporate Bitcoin holdings, cryptocurrency taxation changes, or SEC scrutiny of the leveraged treasury strategy could fundamentally alter the company's business model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Strategy Inc.'s dual business creates a split AI risk profile. The Bitcoin treasury — which drives the vast majority of the company's market value — is structurally immune to AI disruption; Bitcoin's value proposition as a decentralized store of value is not threatened by artificial intelligence [1]. However, the legacy enterprise analytics business (Strategy ONE) faces significant AI disruption pressure from AI-native competitors like Databricks, Snowflake, and Microsoft's Copilot-integrated Power BI that could further erode market share in a segment already declining [3]. The company's Subscription Services grew 62% YoY, suggesting some competitive viability in the cloud transition [1]. AI Opportunity (1/1): Strategy ONE integrates AI technologies for enterprise analytics, and the 62% growth in Subscription Services indicates customers are adopting the AI-enhanced cloud platform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Strategy Inc. Q4/FY2025 Earnings and Bitcoin Treasury Update — 815,061 BTC held, $25.3B capital raised in 2025, Subscription Services +62% YoY, February 2026</w:t>
      </w:r>
    </w:p>
    <w:p>
      <w:pPr>
        <w:spacing w:before="20" w:after="20"/>
        <w:ind w:left="170"/>
      </w:pPr>
      <w:r>
        <w:rPr>
          <w:rFonts w:ascii="Calibri" w:hAnsi="Calibri"/>
          <w:b/>
          <w:color w:val="4A6B25"/>
          <w:sz w:val="15"/>
        </w:rPr>
        <w:t xml:space="preserve">2. </w:t>
      </w:r>
      <w:r>
        <w:rPr>
          <w:rFonts w:ascii="Calibri" w:hAnsi="Calibri"/>
          <w:b w:val="0"/>
          <w:color w:val="3A4A28"/>
          <w:sz w:val="17"/>
        </w:rPr>
        <w:t>StocksToTrade / Phemex — MSTR stock analysis, Bitcoin treasury strategy, analyst price targets (TD Cowen $385, Texas Capital $200), April 2026</w:t>
      </w:r>
    </w:p>
    <w:p>
      <w:pPr>
        <w:spacing w:before="20" w:after="20"/>
        <w:ind w:left="170"/>
      </w:pPr>
      <w:r>
        <w:rPr>
          <w:rFonts w:ascii="Calibri" w:hAnsi="Calibri"/>
          <w:b/>
          <w:color w:val="4A6B25"/>
          <w:sz w:val="15"/>
        </w:rPr>
        <w:t xml:space="preserve">3. </w:t>
      </w:r>
      <w:r>
        <w:rPr>
          <w:rFonts w:ascii="Calibri" w:hAnsi="Calibri"/>
          <w:b w:val="0"/>
          <w:color w:val="3A4A28"/>
          <w:sz w:val="17"/>
        </w:rPr>
        <w:t>Strategy Inc. Investor Relations — Strategy ONE platform, executive team, corporate rebranding,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Glassdoor Reviews — MicroStrategy/Strategy Inc. employee reviews, 2.8/5 rating, toxic culture concerns,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STRC (Strategy Inc. Variable Rate Preferred), retrieved April 26, 2026</w:t>
      </w:r>
    </w:p>
    <w:p>
      <w:pPr>
        <w:spacing w:before="20" w:after="20"/>
        <w:ind w:left="170"/>
      </w:pPr>
      <w:r>
        <w:rPr>
          <w:rFonts w:ascii="Calibri" w:hAnsi="Calibri"/>
          <w:b/>
          <w:color w:val="4A6B25"/>
          <w:sz w:val="15"/>
        </w:rPr>
        <w:t xml:space="preserve">6. </w:t>
      </w:r>
      <w:r>
        <w:rPr>
          <w:rFonts w:ascii="Calibri" w:hAnsi="Calibri"/>
          <w:b w:val="0"/>
          <w:color w:val="3A4A28"/>
          <w:sz w:val="17"/>
        </w:rPr>
        <w:t>ESG Hound / KPMG — MicroStrategy ESG and Bitcoin environmental controversy analysis,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