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STT</w:t>
      </w:r>
      <w:r>
        <w:rPr>
          <w:rFonts w:ascii="Calibri" w:hAnsi="Calibri"/>
          <w:b/>
          <w:color w:val="1A2010"/>
          <w:sz w:val="40"/>
        </w:rPr>
        <w:t xml:space="preserve">  State Street Corporation</w:t>
      </w:r>
    </w:p>
    <w:p>
      <w:pPr>
        <w:spacing w:after="120"/>
      </w:pPr>
      <w:r>
        <w:rPr>
          <w:rFonts w:ascii="Calibri" w:hAnsi="Calibri"/>
          <w:b/>
          <w:color w:val="6E8450"/>
          <w:sz w:val="18"/>
        </w:rPr>
        <w:t>DIVIDEND SLEEVE · 2026-04-16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States</w:t>
      </w:r>
    </w:p>
    <w:p>
      <w:pPr>
        <w:spacing w:after="80"/>
      </w:pPr>
      <w:r>
        <w:rPr>
          <w:rFonts w:ascii="Calibri" w:hAnsi="Calibri"/>
          <w:b w:val="0"/>
          <w:color w:val="3A4A28"/>
          <w:sz w:val="20"/>
        </w:rPr>
        <w:t>State Street Corporation is a leading global financial services and bank holding company providing investment servicing, investment management, and investment research through State Street Global Advisors. The company is one of the world's largest custodian banks with $44.3 trillion in assets under custody and $4.7 trillion in assets under management.</w:t>
      </w:r>
    </w:p>
    <w:p>
      <w:r>
        <w:rPr>
          <w:rFonts w:ascii="Calibri" w:hAnsi="Calibri"/>
          <w:b/>
          <w:color w:val="6E8450"/>
          <w:sz w:val="18"/>
        </w:rPr>
        <w:t>51,503 Employees · https://www.statestreet.com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State Street's core custody and asset management businesses have grown incrementally — total revenue reached $13.97B in 2025 with Q4 setting a record on fee revenue [1]. The company launched its Alpha platform to modernize investment servicing, representing a meaningful but evolutionary product refresh [2]. AI Deployment (2/2): State Street has deployed over 400 AI practitioners across ML predictive NAV benchmarks, anomaly detection, client file quality controls, and anti-money laundering compliance tools, with six recently won AI patents [2]. The company is progressing through a multi-stage AI strategy from productivity tools to workflow automation to agentic AI [2]. Market Share (2/2): State Street is one of the 'Big Three' passive asset managers alongside BlackRock and Vanguard, with the SPDR ETF franchise and dominant market position in institutional custody services managing $44.3T in assets under custody [1]. Pipeline (0/2): No transformative next-gen products with specific launch timelines; the digital asset platform and AI investments are expected to generate 'meaningful financial impact' after 2026, not during it [1]. R&amp;D Intensity (1/1): Significant technology investment with 400+ AI practitioners and ongoing Alpha platform development, above average for custody banking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State Street's stated purpose centers on helping institutional investors build better portfolios and secure better outcomes through innovation, technology, and data — clear and specific but not deeply aspirational beyond the financial services domain [2]. Community Impact (1/2): State Street has general corporate philanthropy and community programs, though the recent pullback from ESG commitments — withdrawing from NZAM in the U.S. and dropping board diversity requirements — signals reduced emphasis on broader community impact [3]. Employee Retention (1/2): 51,503 employees with a seasoned leadership bench — the recent promotion of internal talent like Joerg Ambrosius to president of Investment Services suggests organizational depth. The COO's decision to bring outsourced operations in-house rather than offshoring suggests investment in domestic workforce [2]. Insider Buying (1/2): The $500M+ annual share repurchase program demonstrates capital return commitment, though this is standard for large financials and not specific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State Street demonstrates strong financial fundamentals across most metrics. Forward P/E of 10.8x is well below the 20x target, reflecting the market's conservative valuation of custody banking [4]. Profit margin of 21.2% exceeds the 20% target, with Q4 pre-tax margin hitting 30.7% excluding notable items [1]. ROE of 11.1% is below the 15% target but reasonable for a custody bank with ROTCE of 17.5% [1]. Revenue grew 8.1% YoY to $13.97B, though the 5yr CAGR of 3.7% reflects the low-growth nature of custody banking [4]. Dividend profile is excellent: payout ratio of 34%, 30+ consecutive years paid, 13 consecutive years of growth, and 8.4% 5yr dividend CAGR — all at or above targets [4]. D/E is not reported in standard form for this bank holding company and is excluded from scoring. Liquidity floor easily cleared at $299M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State Street demonstrates mixed infinite game characteristics. The 230+ year institutional history and long CEO tenure reflect endurance, but recent strategic pivots on ESG — withdrawing from NZAM, dropping board diversity requirements, and reducing environmental/social shareholder proposal support — suggest the company adjusts its stated values based on political and client pressure rather than holding to a consistent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State Street's 230-year history of serving institutional investors represents one of the longest track records in financial services, demonstrating purpose through endurance [1]. The company's mission to help investors build better portfolios has been consistent through multiple market cycles. However, the recent retreat from ESG commitments under political pressure — leaving NZAM, dropping diversity requirements — undermines the claim that any stated cause is truly non-negotiable [3]. (2/3 pts)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State Street employs 51,503 people with a seasoned internal leadership bench — Joerg Ambrosius was promoted to president of Investment Services from within, and the COO brought outsourced operations back in-house to invest in domestic employees [2]. The appointment of a Chief Risk Officer with multi-year tenure suggests organizational stability. However, there is no standout evidence of exceptional trust culture or employee empowerment beyond industry norms. (1/2 pts)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State Street operates in explicit awareness of BlackRock and Vanguard as worthy rivals, and the competitive dynamics among the Big Three have driven continuous improvement in ETF products, fee structures, and technology platforms [1]. The company's investment in the Alpha platform and AI capabilities reflects competitive motivation to improve rather than a destructive win-at-all-costs mindset. (1/1 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State Street has evolved from a traditional custodian bank to a technology-enabled investment services platform, with the Alpha data platform and AI deployment representing meaningful strategic evolution [2]. The shift from passive custody to active technology services is significant but incremental — the core custody business remains the foundation. The digital asset platform investment signals willingness to explore new frontiers. (1/2 pts)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State Street's recent strategic decisions suggest optimization over courage. The retreat from ESG commitments — leaving NZAM, dropping diversity proxy requirements, reducing environmental proposal support from higher levels to 6% — was driven by political pressure and client demand rather than principled conviction [3]. Whether one views ESG positively or negatively, the pattern of adopting positions when popular and abandoning them when politically costly is the opposite of Sinek's courage test. (0/2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State Street is a global financial services leader with $44.3T in assets under custody and $4.7T under management, generating $13.97B in 2025 revenue with Q4 setting records in fee and total revenue [1]. The stock trades at just 10.8x forward earnings — a significant discount to the S&amp;P 500 — while delivering a 2.35% dividend yield with 13 consecutive years of growth and 8.4% 5yr dividend CAGR [4]. Management guides 4-6% fee revenue growth with 100+ basis points of positive operating leverage in 2026, and the 400+ person AI team is driving measurable efficiency gains in NAV prediction, anomaly detection, and compliance [1][2]. Q4 pre-tax margin of 30.7% (ex-notable items) with ROTCE of 21.5% demonstrates underlying profitability strength. The $40B market cap represents a low valuation for a systemically important custodian with an irreplaceable institutional franchise.</w:t>
      </w:r>
    </w:p>
    <w:p>
      <w:pPr>
        <w:spacing w:after="120"/>
      </w:pPr>
      <w:r>
        <w:rPr>
          <w:rFonts w:ascii="Calibri" w:hAnsi="Calibri"/>
          <w:b w:val="0"/>
          <w:color w:val="3A4A28"/>
          <w:sz w:val="20"/>
        </w:rPr>
        <w:t>The bear case centers on structural growth limitations and fee pressure. Revenue grew just 3.7% annually over five years, reflecting the low-growth nature of custody banking and persistent fee compression in passive asset management [4]. Q4 2025 EPS declined 24.1% YoY on notable items, and the yfinance-reported revenue growth of -2.8% suggests inconsistency in reported metrics [4]. State Street faces antitrust litigation from 13 Republican attorneys general over ESG practices, creating legal liability and reputational risk regardless of outcome [3]. The retreat from ESG commitments (NZAM withdrawal, diversity policy changes) may alienate institutional clients in Europe and other ESG-focused markets — State Street reportedly lost $35B to Amundi and Invesco over ESG positioning [3]. AI disruption to back-office custody operations could compress margins over time, and the company acknowledges 'meaningful financial impact' from digital investments won't materialize until after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4-6% fee revenue growth guidance for 2026 with 100+ basis points positive operating leverage, expanding pre-tax margins from an already strong 30.7% base [1]</w:t>
      </w:r>
    </w:p>
    <w:p>
      <w:pPr>
        <w:spacing w:before="40" w:after="40"/>
        <w:ind w:left="283"/>
      </w:pPr>
      <w:r>
        <w:rPr>
          <w:rFonts w:ascii="Calibri" w:hAnsi="Calibri"/>
          <w:b/>
          <w:color w:val="4A6B25"/>
          <w:sz w:val="20"/>
        </w:rPr>
        <w:t xml:space="preserve">2. </w:t>
      </w:r>
      <w:r>
        <w:rPr>
          <w:rFonts w:ascii="Calibri" w:hAnsi="Calibri"/>
          <w:b w:val="0"/>
          <w:color w:val="3A4A28"/>
          <w:sz w:val="20"/>
        </w:rPr>
        <w:t>AI deployment across 400+ practitioners driving efficiency gains in NAV prediction, compliance, and client servicing, with six new patents signaling differentiation [2]</w:t>
      </w:r>
    </w:p>
    <w:p>
      <w:pPr>
        <w:spacing w:before="40" w:after="40"/>
        <w:ind w:left="283"/>
      </w:pPr>
      <w:r>
        <w:rPr>
          <w:rFonts w:ascii="Calibri" w:hAnsi="Calibri"/>
          <w:b/>
          <w:color w:val="4A6B25"/>
          <w:sz w:val="20"/>
        </w:rPr>
        <w:t xml:space="preserve">3. </w:t>
      </w:r>
      <w:r>
        <w:rPr>
          <w:rFonts w:ascii="Calibri" w:hAnsi="Calibri"/>
          <w:b w:val="0"/>
          <w:color w:val="3A4A28"/>
          <w:sz w:val="20"/>
        </w:rPr>
        <w:t>Deeply discounted valuation at 10.8x forward earnings with 2.35% yield and 13 consecutive years of dividend growth — any re-rating toward financial sector averages creates significant upside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Antitrust litigation from 13 Republican attorneys general over ESG practices creates material legal liability and political risk regardless of outcome [3]</w:t>
      </w:r>
    </w:p>
    <w:p>
      <w:pPr>
        <w:spacing w:before="40" w:after="40"/>
        <w:ind w:left="283"/>
      </w:pPr>
      <w:r>
        <w:rPr>
          <w:rFonts w:ascii="Calibri" w:hAnsi="Calibri"/>
          <w:b/>
          <w:color w:val="4A6B25"/>
          <w:sz w:val="20"/>
        </w:rPr>
        <w:t xml:space="preserve">2. </w:t>
      </w:r>
      <w:r>
        <w:rPr>
          <w:rFonts w:ascii="Calibri" w:hAnsi="Calibri"/>
          <w:b w:val="0"/>
          <w:color w:val="3A4A28"/>
          <w:sz w:val="20"/>
        </w:rPr>
        <w:t>Structural fee compression in passive asset management — State Street reportedly lost $35B in AUM to competitors over ESG positioning, demonstrating client sensitivity to strategic missteps [3]</w:t>
      </w:r>
    </w:p>
    <w:p>
      <w:pPr>
        <w:spacing w:before="40" w:after="40"/>
        <w:ind w:left="283"/>
      </w:pPr>
      <w:r>
        <w:rPr>
          <w:rFonts w:ascii="Calibri" w:hAnsi="Calibri"/>
          <w:b/>
          <w:color w:val="4A6B25"/>
          <w:sz w:val="20"/>
        </w:rPr>
        <w:t xml:space="preserve">3. </w:t>
      </w:r>
      <w:r>
        <w:rPr>
          <w:rFonts w:ascii="Calibri" w:hAnsi="Calibri"/>
          <w:b w:val="0"/>
          <w:color w:val="3A4A28"/>
          <w:sz w:val="20"/>
        </w:rPr>
        <w:t>Low organic revenue growth (3.7% 5yr CAGR) in custody banking limits earnings power as AI-driven automation gradually reduces the value of back-office servicing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State Street's custody and asset servicing business has meaningful defensive moats — regulatory requirements, complex institutional relationships, and proprietary data that create switching costs [2]. However, AI poses real disruption risk to portions of the business: passive investment management (where AI-driven smart beta and direct indexing could pressure fee structures), trade settlement automation, and compliance reporting could all see AI-driven compression [2]. The company's strategic response — 400+ AI practitioners, six patents, and multi-stage agentic AI roadmap — demonstrates proactive adaptation, but the custody banking model faces structural fee pressure as technology reduces the cost of back-office operations [2]. AI Opportunity (1/1): State Street is generating measurable value from AI deployment — ML predictive NAV benchmarks, anomaly detection, and AML compliance tools are live and driving efficiency gains, with the Alpha platform incorporating AI capabilities for institutional clients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State Street Q4 2025 Earnings Release — $3.67B quarterly revenue (7% YoY), $2.42 EPS, record fee revenue, 2026 guidance 4-6% fee growth, January 2026</w:t>
      </w:r>
    </w:p>
    <w:p>
      <w:pPr>
        <w:spacing w:before="20" w:after="20"/>
        <w:ind w:left="170"/>
      </w:pPr>
      <w:r>
        <w:rPr>
          <w:rFonts w:ascii="Calibri" w:hAnsi="Calibri"/>
          <w:b/>
          <w:color w:val="4A6B25"/>
          <w:sz w:val="15"/>
        </w:rPr>
        <w:t xml:space="preserve">2. </w:t>
      </w:r>
      <w:r>
        <w:rPr>
          <w:rFonts w:ascii="Calibri" w:hAnsi="Calibri"/>
          <w:b w:val="0"/>
          <w:color w:val="3A4A28"/>
          <w:sz w:val="17"/>
        </w:rPr>
        <w:t>State Street corporate website / Seeking Alpha / Fortune — AI strategy with 400+ practitioners, Alpha platform, six AI patents, agentic AI roadmap, 2025-2026</w:t>
      </w:r>
    </w:p>
    <w:p>
      <w:pPr>
        <w:spacing w:before="20" w:after="20"/>
        <w:ind w:left="170"/>
      </w:pPr>
      <w:r>
        <w:rPr>
          <w:rFonts w:ascii="Calibri" w:hAnsi="Calibri"/>
          <w:b/>
          <w:color w:val="4A6B25"/>
          <w:sz w:val="15"/>
        </w:rPr>
        <w:t xml:space="preserve">3. </w:t>
      </w:r>
      <w:r>
        <w:rPr>
          <w:rFonts w:ascii="Calibri" w:hAnsi="Calibri"/>
          <w:b w:val="0"/>
          <w:color w:val="3A4A28"/>
          <w:sz w:val="17"/>
        </w:rPr>
        <w:t>ESG Today / ESG Dive / Alabama AG — State Street leaves NZAM in U.S., drops board diversity requirements, antitrust lawsuit from 13 AGs, $35B AUM loss,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STT (State Street Corporation), retrieved April 16, 2026</w:t>
      </w:r>
    </w:p>
    <w:p>
      <w:pPr>
        <w:spacing w:before="20" w:after="20"/>
        <w:ind w:left="170"/>
      </w:pPr>
      <w:r>
        <w:rPr>
          <w:rFonts w:ascii="Calibri" w:hAnsi="Calibri"/>
          <w:b/>
          <w:color w:val="4A6B25"/>
          <w:sz w:val="15"/>
        </w:rPr>
        <w:t xml:space="preserve">5. </w:t>
      </w:r>
      <w:r>
        <w:rPr>
          <w:rFonts w:ascii="Calibri" w:hAnsi="Calibri"/>
          <w:b w:val="0"/>
          <w:color w:val="3A4A28"/>
          <w:sz w:val="17"/>
        </w:rPr>
        <w:t>MarketBeat / Nasdaq — STT Q1 2026 earnings expectations, analyst estimates,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