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STX</w:t>
      </w:r>
      <w:r>
        <w:rPr>
          <w:rFonts w:ascii="Calibri" w:hAnsi="Calibri"/>
          <w:b/>
          <w:color w:val="1A2010"/>
          <w:sz w:val="40"/>
        </w:rPr>
        <w:t xml:space="preserve">  Seagate Technology Holdings PLC</w:t>
      </w:r>
    </w:p>
    <w:p>
      <w:pPr>
        <w:spacing w:after="120"/>
      </w:pPr>
      <w:r>
        <w:rPr>
          <w:rFonts w:ascii="Calibri" w:hAnsi="Calibri"/>
          <w:b/>
          <w:color w:val="6E8450"/>
          <w:sz w:val="18"/>
        </w:rPr>
        <w:t>GROWTH SLEEVE · 2026-04-02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Computer Hardware · NASDAQ · United States</w:t>
      </w:r>
    </w:p>
    <w:p>
      <w:pPr>
        <w:spacing w:after="80"/>
      </w:pPr>
      <w:r>
        <w:rPr>
          <w:rFonts w:ascii="Calibri" w:hAnsi="Calibri"/>
          <w:b w:val="0"/>
          <w:color w:val="3A4A28"/>
          <w:sz w:val="20"/>
        </w:rPr>
        <w:t>Seagate Technology is the world's leading manufacturer of hard disk drives (HDDs), forming a practical duopoly with Western Digital. The company has pioneered Heat-Assisted Magnetic Recording (HAMR) technology through its Mozaic platform, enabling next-generation high-capacity storage for AI data centers and cloud infrastructure. Headquartered in Dublin, Ireland with primary operations in the U.S. and Singapore.</w:t>
      </w:r>
    </w:p>
    <w:p>
      <w:r>
        <w:rPr>
          <w:rFonts w:ascii="Calibri" w:hAnsi="Calibri"/>
          <w:b/>
          <w:color w:val="6E8450"/>
          <w:sz w:val="18"/>
        </w:rPr>
        <w:t>30,000 Employees · https://www.seagate.com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Seagate has successfully commercialized HAMR technology through its Mozaic platform — a breakthrough that extends HDD roadmaps for another decade and is now qualified with five of the world's largest cloud customers [1]. Revenue surged 21.5% YoY in fiscal Q2 2026 with record gross margins. AI Deployment (1/2): Seagate deploys AI internally through smart manufacturing, AI-enhanced automated vision systems, and autonomous factory monitoring; no customer-facing AI products but its storage products directly enable AI workloads [2]. Market Share (2/2): Seagate is one of two vertically integrated HDD manufacturers globally (duopoly with Western Digital), with unmatched scale in mass-capacity storage. CEO Mosley stated the company is 'sold out through 2026,' reflecting dominant market positioning [1]. Pipeline (1/2): HAMR-based Mozaic drives offer a clear multi-year roadmap to 50TB+ capacities; Q3 FY2026 guidance of $2.9B (midpoint) implies ~34% YoY growth with margin expansion to mid-30% operating margins [1]. R&amp;D Intensity (1/1): Decades of investment in HAMR technology (15+ years of development) and continued investment in areal density advancement puts Seagate above industry average for R&amp;D intensity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Seagate's vision centers on 'crafting the datasphere' and enabling the world's data storage needs — clear and functional but not deeply inspiring beyond industrial purpose [2]. Community Impact (1/2): Seagate employs 30,000 people globally and maintains corporate responsibility programs, though specific charitable giving or community investment figures were not found in research [3]. Employee Retention (1/2): Glassdoor rating of 3.8/5 with 64% recommendation rate; employees cite culture, benefits, and coworkers as positives but rate the executive team in the bottom 15% of peer companies on Comparably [2]. CEO Mosley's 30-year Seagate tenure (joined 1996, CEO since 2017) demonstrates personal commitment. Insider Buying (1/2): No specific net insider buying data found, but Mosley has significant equity exposure with $17.18M total compensation (93.6% in stock/options), aligning leadership with shareholders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Seagate's revenue recovery is impressive — TTM revenue of $10.06B with 21.5% YoY growth, record gross margins of 42.2%, and non-GAAP EPS growth of 19% QoQ in fiscal Q2 2026 [1]. Forward P/E of 21.2x is reasonable for the growth trajectory, and profit margin of 19.6% is approaching the 20% target. Free cash flow of $607M in Q2 alone demonstrates strong cash generation. However, D/E of 1,047% is extremely elevated due to aggressive share buybacks creating negative book value ($2.10/share), scoring at the floor on this metric [4]. The five-year revenue CAGR is approximately flat as the company recovers from a deep cyclical trough (FY2024 revenue of $6.55B). Liquidity floor easily cleared: 4.2M avg volume × $423 = $1.78B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Seagate demonstrates meaningful infinite game thinking — CEO Mosley's 30-year tenure and patient 15+ year investment in HAMR technology exemplify long-term commitment. The company endured a deep cyclical downturn (FY2024) without abandoning its technology roadmap. However, the aggressive financial engineering (negative book value from buybacks) and the $300M Huawei export control penalty reveal finite-game impulses around short-term optimization.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Seagate's purpose of enabling the world's data storage needs is validated by four decades of execution through multiple technology transitions — from early PC hard drives through cloud computing to AI [2]. The company's identity as a storage infrastructure provider is deeply embedded and has endured leadership changes, cyclical downturns, and technology shifts. However, the cause lacks the aspirational quality of truly transformative visions.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Glassdoor's 3.8/5 rating with 64% recommendation rate suggests adequate employee satisfaction, and CEO Mosley's 30-year tenure provides leadership stability [2]. The management team's 7.2-year average tenure indicates retention at the senior level. However, Comparably rates the executive team in the bottom 15% of peer companies, and employees cite senior leadership as a primary con — suggesting organizational trust is adequate but not exceptional.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Seagate operates in a constructive duopoly with Western Digital where both companies benefit from industry rationalization. Rather than destructive price competition, the duopoly structure has enabled both companies to invest in next-generation technologies like HAMR. Seagate's competitive language focuses on technology leadership and customer value rather than 'crushing' Western Digital [2]. (1/1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Seagate's commitment to HAMR technology — a 15+ year R&amp;D bet that is now paying off with Mozaic commercialization — demonstrates willingness to invest through uncertainty [1][2]. The company also navigated the SSD disruption threat by focusing on mass-capacity HDD where cost/TB economics favor mechanical drives. However, Seagate has remained fundamentally a hard drive company since founding — the persistence is impressive but doesn't represent transformative reinvention.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15+ year investment in HAMR technology through multiple down cycles shows courage to prioritize long-term capability over short-term costs [2]. Maintaining R&amp;D through the FY2024 revenue trough ($6.55B, down 44% from FY2022 peak) required conviction. However, the $300M Huawei export control penalty reveals a willingness to push compliance boundaries for near-term revenue, which undermines the courage narrative [3].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Seagate is experiencing a powerful AI-driven growth cycle — fiscal Q2 2026 revenue of $2.83B (+21.5% YoY) with record gross margins of 42.2% and non-GAAP EPS of $3.11 (beating consensus by $0.34) [1]. The company is 'sold out through 2026' per CEO Mosley, with Q3 guidance implying ~34% YoY growth to $2.9B. HAMR technology via the Mozaic platform is now qualified with five major cloud customers, extending the HDD roadmap for another decade and providing a structural competitive advantage in the duopoly with Western Digital. At 21.2x forward P/E with $6.83 expected full-year EPS and expanding margins toward mid-30% operating margins, Seagate offers attractive growth at a reasonable valuation with free cash flow expanding to $607M quarterly [1].</w:t>
      </w:r>
    </w:p>
    <w:p>
      <w:pPr>
        <w:spacing w:after="120"/>
      </w:pPr>
      <w:r>
        <w:rPr>
          <w:rFonts w:ascii="Calibri" w:hAnsi="Calibri"/>
          <w:b w:val="0"/>
          <w:color w:val="3A4A28"/>
          <w:sz w:val="20"/>
        </w:rPr>
        <w:t>The bear case centers on cyclicality and balance sheet risk. Seagate's revenue collapsed 44% from $11.66B (FY2022) to $6.55B (FY2024), demonstrating extreme demand cyclicality inherent in the HDD business [4]. D/E of 1,047% reflects aggressive financial engineering — $4.8B debt against near-zero equity from cumulative buybacks — leaving minimal balance sheet cushion for the next downturn. The $300M Huawei export control penalty (2023) exposed governance weaknesses and created regulatory risk for future China-related business [3]. SSDs continue to take share from HDDs in non-mass-capacity segments, limiting Seagate's addressable market to data center bulk storage. The current 47.9x trailing P/E reflects the earnings trough but signals that much of the AI storage thesis is priced in. If AI data center capex moderates or shifts toward flash storage, Seagate's revenue trajectory could reverse sharply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HAMR/Mozaic platform commercialization with five major cloud customer qualifications, enabling next-generation 30TB+ drives that extend the HDD cost advantage over SSD for mass-capacity AI storage [1]</w:t>
      </w:r>
    </w:p>
    <w:p>
      <w:pPr>
        <w:spacing w:before="40" w:after="40"/>
        <w:ind w:left="283"/>
      </w:pPr>
      <w:r>
        <w:rPr>
          <w:rFonts w:ascii="Calibri" w:hAnsi="Calibri"/>
          <w:b/>
          <w:color w:val="4A6B25"/>
          <w:sz w:val="20"/>
        </w:rPr>
        <w:t xml:space="preserve">2. </w:t>
      </w:r>
      <w:r>
        <w:rPr>
          <w:rFonts w:ascii="Calibri" w:hAnsi="Calibri"/>
          <w:b w:val="0"/>
          <w:color w:val="3A4A28"/>
          <w:sz w:val="20"/>
        </w:rPr>
        <w:t>AI data center buildout driving 'sold out through 2026' capacity utilization, with Q3 FY2026 guidance of $2.9B implying ~34% YoY growth and mid-30% operating margins [1]</w:t>
      </w:r>
    </w:p>
    <w:p>
      <w:pPr>
        <w:spacing w:before="40" w:after="40"/>
        <w:ind w:left="283"/>
      </w:pPr>
      <w:r>
        <w:rPr>
          <w:rFonts w:ascii="Calibri" w:hAnsi="Calibri"/>
          <w:b/>
          <w:color w:val="4A6B25"/>
          <w:sz w:val="20"/>
        </w:rPr>
        <w:t xml:space="preserve">3. </w:t>
      </w:r>
      <w:r>
        <w:rPr>
          <w:rFonts w:ascii="Calibri" w:hAnsi="Calibri"/>
          <w:b w:val="0"/>
          <w:color w:val="3A4A28"/>
          <w:sz w:val="20"/>
        </w:rPr>
        <w:t>Margin expansion trajectory — gross margin expanded from ~33% (FY2024) to 42.2% (Q2 FY2026), with non-GAAP operating margins approaching mid-30s as volume leverage and HAMR mix improve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demand cyclicality — revenue swung from $11.66B (FY2022) to $6.55B (FY2024) to $10B+ (FY2026), and the next downturn could be equally severe given $4.8B debt and negative book value [4]</w:t>
      </w:r>
    </w:p>
    <w:p>
      <w:pPr>
        <w:spacing w:before="40" w:after="40"/>
        <w:ind w:left="283"/>
      </w:pPr>
      <w:r>
        <w:rPr>
          <w:rFonts w:ascii="Calibri" w:hAnsi="Calibri"/>
          <w:b/>
          <w:color w:val="4A6B25"/>
          <w:sz w:val="20"/>
        </w:rPr>
        <w:t xml:space="preserve">2. </w:t>
      </w:r>
      <w:r>
        <w:rPr>
          <w:rFonts w:ascii="Calibri" w:hAnsi="Calibri"/>
          <w:b w:val="0"/>
          <w:color w:val="3A4A28"/>
          <w:sz w:val="20"/>
        </w:rPr>
        <w:t>$300M Huawei export control penalty (2023) exposed compliance governance failures and creates ongoing regulatory risk for China-related revenue streams [3]</w:t>
      </w:r>
    </w:p>
    <w:p>
      <w:pPr>
        <w:spacing w:before="40" w:after="40"/>
        <w:ind w:left="283"/>
      </w:pPr>
      <w:r>
        <w:rPr>
          <w:rFonts w:ascii="Calibri" w:hAnsi="Calibri"/>
          <w:b/>
          <w:color w:val="4A6B25"/>
          <w:sz w:val="20"/>
        </w:rPr>
        <w:t xml:space="preserve">3. </w:t>
      </w:r>
      <w:r>
        <w:rPr>
          <w:rFonts w:ascii="Calibri" w:hAnsi="Calibri"/>
          <w:b w:val="0"/>
          <w:color w:val="3A4A28"/>
          <w:sz w:val="20"/>
        </w:rPr>
        <w:t>SSD price decline trajectory and NAND flash capacity expansion could narrow the cost/TB advantage of HDDs in mass-capacity applications, compressing Seagate's addressable market over time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Seagate is a direct beneficiary of AI expansion — every AI model requires massive data storage for training datasets, inference logs, and generated content. The explosion of AI data center buildouts has driven Seagate's revenue recovery from $6.55B (FY2024) to a $10B+ run rate, with the company 'sold out through 2026' [1]. AI structurally cannot displace the need for physical storage media; it can only increase demand. The HDD duopoly with Western Digital provides pricing power as capacity demands surge. HAMR technology enables the areal density improvements needed for AI-scale storage economics [2]. AI Opportunity (1/1): Seagate generates direct AI-driven revenue — Mozaic HAMR drives are qualified with five major cloud customers specifically for AI workloads, and AI data center demand is the primary growth driver behind the 34% guided YoY revenue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Seagate Technology Fiscal Q1 and Q2 2026 Earnings Releases — record margins, $2.83B Q2 revenue, $3.11 non-GAAP EPS, Q3 guidance, 2025-2026</w:t>
      </w:r>
    </w:p>
    <w:p>
      <w:pPr>
        <w:spacing w:before="20" w:after="20"/>
        <w:ind w:left="170"/>
      </w:pPr>
      <w:r>
        <w:rPr>
          <w:rFonts w:ascii="Calibri" w:hAnsi="Calibri"/>
          <w:b/>
          <w:color w:val="4A6B25"/>
          <w:sz w:val="15"/>
        </w:rPr>
        <w:t xml:space="preserve">2. </w:t>
      </w:r>
      <w:r>
        <w:rPr>
          <w:rFonts w:ascii="Calibri" w:hAnsi="Calibri"/>
          <w:b w:val="0"/>
          <w:color w:val="3A4A28"/>
          <w:sz w:val="17"/>
        </w:rPr>
        <w:t>Seagate Technology corporate website, leadership team, HAMR/Mozaic technology announcements, Glassdoor/Comparably reviews</w:t>
      </w:r>
    </w:p>
    <w:p>
      <w:pPr>
        <w:spacing w:before="20" w:after="20"/>
        <w:ind w:left="170"/>
      </w:pPr>
      <w:r>
        <w:rPr>
          <w:rFonts w:ascii="Calibri" w:hAnsi="Calibri"/>
          <w:b/>
          <w:color w:val="4A6B25"/>
          <w:sz w:val="15"/>
        </w:rPr>
        <w:t xml:space="preserve">3. </w:t>
      </w:r>
      <w:r>
        <w:rPr>
          <w:rFonts w:ascii="Calibri" w:hAnsi="Calibri"/>
          <w:b w:val="0"/>
          <w:color w:val="3A4A28"/>
          <w:sz w:val="17"/>
        </w:rPr>
        <w:t>Orrick — BIS $300M export control penalty on Seagate for Huawei sales, April 2023; Sustainalytics ESG ratings</w:t>
      </w:r>
    </w:p>
    <w:p>
      <w:pPr>
        <w:spacing w:before="20" w:after="20"/>
        <w:ind w:left="170"/>
      </w:pPr>
      <w:r>
        <w:rPr>
          <w:rFonts w:ascii="Calibri" w:hAnsi="Calibri"/>
          <w:b/>
          <w:color w:val="4A6B25"/>
          <w:sz w:val="15"/>
        </w:rPr>
        <w:t xml:space="preserve">4. </w:t>
      </w:r>
      <w:r>
        <w:rPr>
          <w:rFonts w:ascii="Calibri" w:hAnsi="Calibri"/>
          <w:b w:val="0"/>
          <w:color w:val="3A4A28"/>
          <w:sz w:val="17"/>
        </w:rPr>
        <w:t>Yahoo Finance — STX key statistics and financial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