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SUNE</w:t>
      </w:r>
      <w:r>
        <w:rPr>
          <w:rFonts w:ascii="Calibri" w:hAnsi="Calibri"/>
          <w:b/>
          <w:color w:val="1A2010"/>
          <w:sz w:val="40"/>
        </w:rPr>
        <w:t xml:space="preserve">  SUNation Energy Inc.</w:t>
      </w:r>
    </w:p>
    <w:p>
      <w:pPr>
        <w:spacing w:after="120"/>
      </w:pPr>
      <w:r>
        <w:rPr>
          <w:rFonts w:ascii="Calibri" w:hAnsi="Calibri"/>
          <w:b/>
          <w:color w:val="6E8450"/>
          <w:sz w:val="18"/>
        </w:rPr>
        <w:t>GROWTH SLEEVE · 2026-04-07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SUNation Energy (formerly Pineapple Energy) designs, installs, and maintains photovoltaic solar energy systems and battery storage systems for residential and commercial customers in the United States. Its brand portfolio includes SUNation, Hawaii Energy Connection, E-Gear, Sungevity, and Horizon Solar Power. The company also develops energy management software and hardware.</w:t>
      </w:r>
    </w:p>
    <w:p>
      <w:r>
        <w:rPr>
          <w:rFonts w:ascii="Calibri" w:hAnsi="Calibri"/>
          <w:b/>
          <w:color w:val="6E8450"/>
          <w:sz w:val="18"/>
        </w:rPr>
        <w:t>164 Employees · https://www.sunation.com/corporate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SUNation completed its merger with Pineapple Energy in 2022 and rebranded in late 2024, consolidating multiple regional solar brands into a national platform — a modest strategic pivot but not transformative [1]. Q4 2025 revenue grew 77% YoY to $27.2M with gross margin expanding to 40.7%, showing operational improvement [1]. AI Deployment (0/2): No evidence of AI-powered products or AI-driven cost savings in solar installation or energy management operations [2]. Market Share (1/2): SUNation operates as a meaningful regional player across New York, Hawaii, and other markets through its multi-brand strategy, but is not a category leader in the fragmented residential solar market [1]. Pipeline (1/2): The company is expanding into energy storage, grid services, and energy management software/hardware paired with solar and battery systems, providing adjacent revenue streams [1]. R&amp;D Intensity (1/1): The company invests in proprietary energy management control devices and software, suggesting above-average R&amp;D for a solar installer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SUNation's stated purpose centers on providing clean energy solutions to homeowners and businesses, a clear but not distinctive mission shared by most solar companies [2]. Community Impact (2/2): The company actively participates in community events, and CEO Scott Maskin has championed transparency and direct shareholder engagement, personally responding to shareholder emails and trimming corporate expenses to invest in operations [2]. Employee Retention (0/2): With only 164 employees and no public retention data available, this item cannot be scored [2]. Insider Buying (1/2): Former interim CEO added shares to his personal position, signaling leadership conviction, though the overall insider ownership is minimal at 0.01%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SUNation's financial profile reflects a small-cap turnaround with significant improvement but persistent losses. Revenue surged 77% YoY to $71.9M annually with gross margin of 38.3%, but net income remains deeply negative at -$10.9M with profit margin of -15.1% [1]. D/E is conservative at 41.3%, a strength for a company this size. ROE is -66.2% due to ongoing losses, scoring 0 on that metric. The company has no forward P/E or PEG ratio available due to negative earnings. Market cap of $6.2M is micro-cap territory with $7.2M cash against $10.1M debt. Liquidity floor passes: 4.1M avg vol x $1.82 = $7.5M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SUNation under Scott Maskin shows elements of infinite game thinking — building a diversified clean energy platform through patient brand consolidation rather than chasing quarterly numbers. However, the company is too early in its transformation to have validated its cause through multiple cycles, and management withheld 2026 guidance citing regulatory uncertainty around solar tax credit expiration.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SUNation's commitment to expanding residential and commercial solar energy access serves a genuine cause of clean energy transition, but the mission is not yet distinctive from hundreds of solar installers making similar claims [2]. The multi-brand consolidation strategy suggests long-term platform thinking rather than short-term revenue maximization.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SUNation's leadership team emphasizes training, quality control, and community engagement, with CEO Maskin described as accessible and transparent with shareholders [2]. However, the company has undergone significant organizational change through the Pineapple Energy merger and rebranding, which typically creates uncertainty. No negative cultural signals found.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SUNation acknowledging competitors' strengths or using competitive pressure as motivation for self-improvement [2]. The company's communications focus on its own brand portfolio and growth rather than learning from industry leaders like SunPower, Sunrun, or Tesla Energy.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Communications Systems Inc. to Pineapple Energy to SUNation Energy represents meaningful strategic pivoting, with the company evolving from a legacy telecom business into clean energy [2]. The expansion from pure solar installation into battery storage, grid services, and energy management software shows incremental but real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Maskin demonstrated courage by cutting corporate overhead to invest in operations and being transparent about the company's challenges during a difficult solar market [2]. Management withheld formal 2026 guidance rather than offering optimistic projections, showing honesty over hype. However, there is limited track record of making costly long-term bets.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SUNation Energy is a micro-cap solar installer showing strong revenue momentum — Q4 2025 revenue surged 77% YoY to $27.2M with gross margin expanding to 40.7% from 36.4% [1]. The multi-brand consolidation strategy (SUNation, Hawaii Energy Connection, E-Gear, Sungevity, Horizon Solar Power) creates a national residential and commercial solar platform with diversified geographic exposure. Annual revenue of $71.9M with a $6.2M market cap implies a price-to-sales ratio of just 0.09x, suggesting extreme undervaluation if growth continues. The expansion into battery storage, grid services, and energy management software provides adjacent revenue streams beyond installation [1]. Conservative debt-to-equity of 41.3% provides balance sheet flexibility for a turnaround story.</w:t>
      </w:r>
    </w:p>
    <w:p>
      <w:pPr>
        <w:spacing w:after="120"/>
      </w:pPr>
      <w:r>
        <w:rPr>
          <w:rFonts w:ascii="Calibri" w:hAnsi="Calibri"/>
          <w:b w:val="0"/>
          <w:color w:val="3A4A28"/>
          <w:sz w:val="20"/>
        </w:rPr>
        <w:t>The bear case is significant for a company of this size. Net losses of $10.9M on $71.9M revenue show the path to profitability is unclear, with ROE of -66.2% and negative free cash flow [3]. The looming expiration of U.S. residential solar tax credits creates existential regulatory risk — management explicitly declined to provide 2026 guidance due to this uncertainty [1]. Market cap of $6.2M makes this a micro-cap with extreme volatility (beta of 3.79) and minimal institutional ownership (5.2%). The stock has declined 70% over the past year from $10.00 to $1.82, and insider ownership is negligible at 0.01% [3]. The residential solar market faces intense competition from well-capitalized players like Sunrun, SunPower, and Tesla Energy, making it difficult for a sub-200 employee company to compete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as multi-brand platform scales nationally, with Q4 2025 showing 77% YoY growth and gross margin expansion to 40.7% [1]</w:t>
      </w:r>
    </w:p>
    <w:p>
      <w:pPr>
        <w:spacing w:before="40" w:after="40"/>
        <w:ind w:left="283"/>
      </w:pPr>
      <w:r>
        <w:rPr>
          <w:rFonts w:ascii="Calibri" w:hAnsi="Calibri"/>
          <w:b/>
          <w:color w:val="4A6B25"/>
          <w:sz w:val="20"/>
        </w:rPr>
        <w:t xml:space="preserve">2. </w:t>
      </w:r>
      <w:r>
        <w:rPr>
          <w:rFonts w:ascii="Calibri" w:hAnsi="Calibri"/>
          <w:b w:val="0"/>
          <w:color w:val="3A4A28"/>
          <w:sz w:val="20"/>
        </w:rPr>
        <w:t>Expansion into battery storage and grid services creating recurring revenue streams beyond one-time solar installations [1]</w:t>
      </w:r>
    </w:p>
    <w:p>
      <w:pPr>
        <w:spacing w:before="40" w:after="40"/>
        <w:ind w:left="283"/>
      </w:pPr>
      <w:r>
        <w:rPr>
          <w:rFonts w:ascii="Calibri" w:hAnsi="Calibri"/>
          <w:b/>
          <w:color w:val="4A6B25"/>
          <w:sz w:val="20"/>
        </w:rPr>
        <w:t xml:space="preserve">3. </w:t>
      </w:r>
      <w:r>
        <w:rPr>
          <w:rFonts w:ascii="Calibri" w:hAnsi="Calibri"/>
          <w:b w:val="0"/>
          <w:color w:val="3A4A28"/>
          <w:sz w:val="20"/>
        </w:rPr>
        <w:t>Potential regulatory clarity on residential solar tax credit extensions that would remove the primary overhang on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Expiration of U.S. residential solar tax credits would severely damage demand — management has explicitly flagged this as a material risk for 2026 [1]</w:t>
      </w:r>
    </w:p>
    <w:p>
      <w:pPr>
        <w:spacing w:before="40" w:after="40"/>
        <w:ind w:left="283"/>
      </w:pPr>
      <w:r>
        <w:rPr>
          <w:rFonts w:ascii="Calibri" w:hAnsi="Calibri"/>
          <w:b/>
          <w:color w:val="4A6B25"/>
          <w:sz w:val="20"/>
        </w:rPr>
        <w:t xml:space="preserve">2. </w:t>
      </w:r>
      <w:r>
        <w:rPr>
          <w:rFonts w:ascii="Calibri" w:hAnsi="Calibri"/>
          <w:b w:val="0"/>
          <w:color w:val="3A4A28"/>
          <w:sz w:val="20"/>
        </w:rPr>
        <w:t>Persistent net losses ($10.9M) with only $7.2M cash and $10.1M debt create liquidity risk for a micro-cap company with negative free cash flow [3]</w:t>
      </w:r>
    </w:p>
    <w:p>
      <w:pPr>
        <w:spacing w:before="40" w:after="40"/>
        <w:ind w:left="283"/>
      </w:pPr>
      <w:r>
        <w:rPr>
          <w:rFonts w:ascii="Calibri" w:hAnsi="Calibri"/>
          <w:b/>
          <w:color w:val="4A6B25"/>
          <w:sz w:val="20"/>
        </w:rPr>
        <w:t xml:space="preserve">3. </w:t>
      </w:r>
      <w:r>
        <w:rPr>
          <w:rFonts w:ascii="Calibri" w:hAnsi="Calibri"/>
          <w:b w:val="0"/>
          <w:color w:val="3A4A28"/>
          <w:sz w:val="20"/>
        </w:rPr>
        <w:t>Extreme volatility (beta 3.79) and micro-cap status ($6.2M market cap) with negligible institutional ownership (5.2%) creates delisting risk and limits capital access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SUNation's core business — physically installing solar panels, battery storage systems, and maintaining residential/commercial energy infrastructure — is fundamentally immune to AI disruption [1]. Solar installation requires physical site assessment, rooftop work, electrical wiring, permitting, and ongoing maintenance that AI cannot replace. The residential solar sales process involves in-home consultations and local relationship building. AI may modestly improve lead generation, system design optimization, and scheduling, but these are enhancements not threats. AI Opportunity (0/1): No evidence of AI-generated revenue or AI-powered products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SUNation Energy Q4/FY2025 Earnings Release — $27.2M Q4 revenue (77% YoY growth), $71.9M annual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SUNation Energy corporate website, IR press releases, and leadership team profiles,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SUNE (SUNation Energy),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