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SUPV</w:t>
      </w:r>
      <w:r>
        <w:rPr>
          <w:rFonts w:ascii="Calibri" w:hAnsi="Calibri"/>
          <w:b/>
          <w:color w:val="1A2010"/>
          <w:sz w:val="40"/>
        </w:rPr>
        <w:t xml:space="preserve">  Grupo Supervielle S.A.</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Argentina</w:t>
      </w:r>
    </w:p>
    <w:p>
      <w:pPr>
        <w:spacing w:after="80"/>
      </w:pPr>
      <w:r>
        <w:rPr>
          <w:rFonts w:ascii="Calibri" w:hAnsi="Calibri"/>
          <w:b w:val="0"/>
          <w:color w:val="3A4A28"/>
          <w:sz w:val="20"/>
        </w:rPr>
        <w:t>Grupo Supervielle is an Argentine financial services holding company operating the fourth-largest private domestically-owned bank in Argentina by assets. Founded in 1887, it provides banking, insurance, asset management, and digital financial services through a multi-brand, multi-channel platform across personal, business, and corporate segments.</w:t>
      </w:r>
    </w:p>
    <w:p>
      <w:r>
        <w:rPr>
          <w:rFonts w:ascii="Calibri" w:hAnsi="Calibri"/>
          <w:b/>
          <w:color w:val="6E8450"/>
          <w:sz w:val="18"/>
        </w:rPr>
        <w:t>https://www.gruposupervielle.com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Grupo Supervielle has advanced its digital transformation since 2020, launching crypto offerings and reconfiguring its branch network toward virtual relationship models, but these are incremental improvements for a traditional bank rather than transformative pivots [1][2]. AI Deployment (0/2): No evidence of AI-powered products shipping to customers or quantified AI-driven cost savings; digital initiatives remain focused on traditional fintech capabilities like mobile banking and crypto [2]. Market Share (1/2): The company is the fourth largest private domestically-owned bank in Argentina, a meaningful but non-dominant position in a fragmented and small emerging market banking sector [1]. Pipeline (1/2): Management targets 30-40% loan growth in 2026 and is scaling its digital ecosystem including crypto and virtual banking models, but specific product launch timelines and revenue visibility are vague [1]. R&amp;D Intensity (0/1): No disclosed R&amp;D spending data; the $12M in digital investment cited in 2023 is modest relative to total operations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Grupo Supervielle's purpose is 'focused on helping transform and facilitate life experiences' with 'agile solutions' — clear in intent but generic and interchangeable with any digital-first bank globally [3]. The 'te sigue el ritmo' (keeps up with you) brand positioning reflects customer-centricity but lacks deeper aspirational purpose. Community Impact (1/2): The company invested approximately $3M in social programs in 2022, set a 25% carbon footprint reduction target by 2025, was ranked 2nd in Best ESG in Latin America by Institutional Investor, and included in BYMA's Sustainability Stock Index for three consecutive years [3][5]. Employee Retention (0/2): No publicly available data on turnover rates, average tenure, or employee satisfaction metrics. Insider Buying (0/2): No Form 4 insider purchase transactions found in 2025-2026; only Form 3 initial ownership disclosures were filed in March 2026, with CEO Patricio Supervielle holding existing positions but no net buying activity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SUPV's financial metrics reflect the severe challenges of operating in Argentina's volatile macroeconomic environment with IAS 29 hyperinflationary accounting distortions. ROE is negative at -4.66% (score 0.0, 2x weight) and profit margin is -6.66% (score 0.0), both at the floor [6]. Revenue declined 29.8% YoY in inflation-adjusted terms, below the -20% floor (score 0.0) [1]. The sole bright spot is Forward P/E of 7.4x (score 1.0, 1x weight), reflecting extreme cheapness but also extreme risk [6]. D/E, PEG ratio, and 5-year revenue CAGR are unavailable and excluded. Liquidity floor is cleared: 1.04M avg daily volume x $9.76 = $10.1M [6]. Calculated mechanically: weighted sum 1.0 / max weight 5.0 =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Grupo Supervielle operates with a finite mindset, heavily driven by Argentina's macroeconomic cycles rather than a transcendent purpose. Strategic decisions are responsive to Argentine monetary policy, election cycles, and inflation dynamics rather than guided by an enduring Just Cause. While the 137-year operating history demonstrates survival instinct and the founding family's continued leadership shows commitment, the lack of a distinctive cause and reactive strategy place it firmly in finite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Grupo Supervielle's purpose of 'helping transform and facilitate life experiences' through financial services is shallow and interchangeable with any modern bank in Sinek's framework [3]. While founded in 1887 as Argentina's first savings and loan association, the original cause of responsible banking for underserved communities has been diluted into generic digital transformation language. Leadership references 'customer centrality' and 'digital transformation' but these are business strategies, not a future state worth sacrificing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organization shows adequate stability — CEO Patricio Supervielle returned to lead in 2020, and the 2024 appointment of experienced banker Gustavo Manriquez (30+ years in Argentine banking, former CEO of Banco Macro) as Bank CEO brought seasoned leadership [2]. Patricio Supervielle publicly credits departing executives for their contributions, suggesting a culture of respect. However, no employee turnover, tenure, or cultural data is available, and operating in Argentina's volatile macro environment creates inherent organizational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competitive language focuses on maintaining market position ('fourth largest private bank') and defending against fintech threats rather than learning from rivals like Banco Galicia, Banco Macro, or MercadoPago [1]. The ranking-based competitive frame rather than capability-based improvement signals finite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SUPV has adapted its model incrementally — launching digital banking channels, crypto offerings, and reconfiguring its branch network toward virtual relationships [1][4]. The 'bank of the future' transformation language and new digitally-focused bank CEO suggest willingness to evolve. However, these are evolutionary adaptations for a traditional Argentine bank,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Patricio Supervielle's return as CEO in 2020 during Argentina's economic crisis demonstrated personal commitment to the institution his family founded [2]. Maintaining investment in digital transformation during hyperinflation, and targeting aggressive 30-40% loan growth in 2026 while strengthening the CET1 capital ratio, represent measured bets on Argentina's recovery [1]. However, no evidence of sacrificing short-term earnings for long-term capability or walking away from profitable but misaligned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Grupo Supervielle offers a high-risk, leveraged play on Argentina's economic recovery under President Milei's reform agenda. At 7.4x forward earnings, the stock prices in enormous macro risk but offers substantial upside if normalization proceeds — management targets 30-40% loan growth in 2026 and high single-digit to low double-digit ROE, a dramatic improvement from the current -4.66% [1]. Q4 2025 revenue of $189.8M slightly beat estimates, and CEO Patricio Supervielle expressed 'renewed optimism about Argentina's financial system,' citing advancing reforms, broadening international integration, and normalizing financial conditions [1]. The strengthened CET1 ratio provides capital flexibility for growth, Citigroup upgraded to Buy, and analyst price targets of $11-$15 imply 13-54% upside from the current $9.76 [4].</w:t>
      </w:r>
    </w:p>
    <w:p>
      <w:pPr>
        <w:spacing w:after="120"/>
      </w:pPr>
      <w:r>
        <w:rPr>
          <w:rFonts w:ascii="Calibri" w:hAnsi="Calibri"/>
          <w:b w:val="0"/>
          <w:color w:val="3A4A28"/>
          <w:sz w:val="20"/>
        </w:rPr>
        <w:t>The bear case is substantial and centers on Argentina's persistent macroeconomic volatility combined with SUPV's currently negative profitability. ROE of -4.66% and profit margin of -6.66% reflect a business destroying value in real terms under IAS 29 hyperinflationary accounting [6]. Revenue declined 29.8% YoY in inflation-adjusted terms, and Q4 2025 EPS of -$0.006 missed consensus by -102.6% [1]. Argentina faces ongoing risks from inflation spikes around midterm elections, currency instability, and potential policy reversals that could derail the reform agenda. JPMorgan lowered its price target from $12 to $11 with a Neutral rating, signaling tempered expectations [1]. The stock's 52-week range of $4.54-$17.02 reflects extreme volatility, the $895M market cap limits institutional interest, and critical financial metrics (D/E, PEG, 5yr CAGR) are unavailable, making fundamental analysis exceptionally difficult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economic reform momentum — Milei government's advancing structural reforms and international integration could drive credit expansion and financial system normalization, unlocking the 30-40% loan growth management targets [1]</w:t>
      </w:r>
    </w:p>
    <w:p>
      <w:pPr>
        <w:spacing w:before="40" w:after="40"/>
        <w:ind w:left="283"/>
      </w:pPr>
      <w:r>
        <w:rPr>
          <w:rFonts w:ascii="Calibri" w:hAnsi="Calibri"/>
          <w:b/>
          <w:color w:val="4A6B25"/>
          <w:sz w:val="20"/>
        </w:rPr>
        <w:t xml:space="preserve">2. </w:t>
      </w:r>
      <w:r>
        <w:rPr>
          <w:rFonts w:ascii="Calibri" w:hAnsi="Calibri"/>
          <w:b w:val="0"/>
          <w:color w:val="3A4A28"/>
          <w:sz w:val="20"/>
        </w:rPr>
        <w:t>ROE recovery trajectory from -4.66% toward management's high single-digit to low double-digit target as monetary policy normalizes and real interest rates decline [1]</w:t>
      </w:r>
    </w:p>
    <w:p>
      <w:pPr>
        <w:spacing w:before="40" w:after="40"/>
        <w:ind w:left="283"/>
      </w:pPr>
      <w:r>
        <w:rPr>
          <w:rFonts w:ascii="Calibri" w:hAnsi="Calibri"/>
          <w:b/>
          <w:color w:val="4A6B25"/>
          <w:sz w:val="20"/>
        </w:rPr>
        <w:t xml:space="preserve">3. </w:t>
      </w:r>
      <w:r>
        <w:rPr>
          <w:rFonts w:ascii="Calibri" w:hAnsi="Calibri"/>
          <w:b w:val="0"/>
          <w:color w:val="3A4A28"/>
          <w:sz w:val="20"/>
        </w:rPr>
        <w:t>Digital ecosystem scaling including crypto offerings, virtual relationship models, and branch reconfiguration that could improve cost-to-income ratios as Argentina's banking penetration increases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macroeconomic instability — inflation spikes around midterm elections, peso devaluation, and potential policy reversals could reverse reform progress and compress bank margins [1]</w:t>
      </w:r>
    </w:p>
    <w:p>
      <w:pPr>
        <w:spacing w:before="40" w:after="40"/>
        <w:ind w:left="283"/>
      </w:pPr>
      <w:r>
        <w:rPr>
          <w:rFonts w:ascii="Calibri" w:hAnsi="Calibri"/>
          <w:b/>
          <w:color w:val="4A6B25"/>
          <w:sz w:val="20"/>
        </w:rPr>
        <w:t xml:space="preserve">2. </w:t>
      </w:r>
      <w:r>
        <w:rPr>
          <w:rFonts w:ascii="Calibri" w:hAnsi="Calibri"/>
          <w:b w:val="0"/>
          <w:color w:val="3A4A28"/>
          <w:sz w:val="20"/>
        </w:rPr>
        <w:t>Negative profitability trajectory — ROE of -4.66% and profit margin of -6.66% may persist if real interest rates remain elevated and credit losses increase during the economic transition [6]</w:t>
      </w:r>
    </w:p>
    <w:p>
      <w:pPr>
        <w:spacing w:before="40" w:after="40"/>
        <w:ind w:left="283"/>
      </w:pPr>
      <w:r>
        <w:rPr>
          <w:rFonts w:ascii="Calibri" w:hAnsi="Calibri"/>
          <w:b/>
          <w:color w:val="4A6B25"/>
          <w:sz w:val="20"/>
        </w:rPr>
        <w:t xml:space="preserve">3. </w:t>
      </w:r>
      <w:r>
        <w:rPr>
          <w:rFonts w:ascii="Calibri" w:hAnsi="Calibri"/>
          <w:b w:val="0"/>
          <w:color w:val="3A4A28"/>
          <w:sz w:val="20"/>
        </w:rPr>
        <w:t>Fintech competition from MercadoPago and digital-native challengers threatening deposit and payment market share in Argentina's rapidly digitizing financial services landscape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Argentine regional banking operates behind significant regulatory moats — banking licenses, central bank compliance, physical cash handling infrastructure, and biometric ATM systems create structural barriers that AI cannot displace [4]. Grupo Supervielle's core revenue from loan origination, deposit gathering, treasury operations, and insurance requires local regulatory expertise and physical-world trust. No analysts have flagged AI as a specific disruption risk to Argentine banking. However, fintech competition from MercadoPago and digital-native challengers could compress margins in payments and deposits over time, preventing a higher score [1]. AI Opportunity (0/1): No quantifiable AI revenue; the company's digital initiatives focus on traditional fintech capabilities rather than AI-specific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Grupo Supervielle Q4 2025 &amp; FY2025 Results — BusinessWire, March 2, 2026; Investing.com earnings call transcript</w:t>
      </w:r>
    </w:p>
    <w:p>
      <w:pPr>
        <w:spacing w:before="20" w:after="20"/>
        <w:ind w:left="170"/>
      </w:pPr>
      <w:r>
        <w:rPr>
          <w:rFonts w:ascii="Calibri" w:hAnsi="Calibri"/>
          <w:b/>
          <w:color w:val="4A6B25"/>
          <w:sz w:val="15"/>
        </w:rPr>
        <w:t xml:space="preserve">2. </w:t>
      </w:r>
      <w:r>
        <w:rPr>
          <w:rFonts w:ascii="Calibri" w:hAnsi="Calibri"/>
          <w:b w:val="0"/>
          <w:color w:val="3A4A28"/>
          <w:sz w:val="17"/>
        </w:rPr>
        <w:t>Grupo Supervielle leadership team, CEO Patricio Supervielle, Bank CEO Gustavo Manriquez appointment — BusinessWire, gruposupervielle.com</w:t>
      </w:r>
    </w:p>
    <w:p>
      <w:pPr>
        <w:spacing w:before="20" w:after="20"/>
        <w:ind w:left="170"/>
      </w:pPr>
      <w:r>
        <w:rPr>
          <w:rFonts w:ascii="Calibri" w:hAnsi="Calibri"/>
          <w:b/>
          <w:color w:val="4A6B25"/>
          <w:sz w:val="15"/>
        </w:rPr>
        <w:t xml:space="preserve">3. </w:t>
      </w:r>
      <w:r>
        <w:rPr>
          <w:rFonts w:ascii="Calibri" w:hAnsi="Calibri"/>
          <w:b w:val="0"/>
          <w:color w:val="3A4A28"/>
          <w:sz w:val="17"/>
        </w:rPr>
        <w:t>Grupo Supervielle Mission, Vision &amp; ESG — Company website, DCF.fm analysis, Sustainability Report 2020</w:t>
      </w:r>
    </w:p>
    <w:p>
      <w:pPr>
        <w:spacing w:before="20" w:after="20"/>
        <w:ind w:left="170"/>
      </w:pPr>
      <w:r>
        <w:rPr>
          <w:rFonts w:ascii="Calibri" w:hAnsi="Calibri"/>
          <w:b/>
          <w:color w:val="4A6B25"/>
          <w:sz w:val="15"/>
        </w:rPr>
        <w:t xml:space="preserve">4. </w:t>
      </w:r>
      <w:r>
        <w:rPr>
          <w:rFonts w:ascii="Calibri" w:hAnsi="Calibri"/>
          <w:b w:val="0"/>
          <w:color w:val="3A4A28"/>
          <w:sz w:val="17"/>
        </w:rPr>
        <w:t>Analyst ratings on SUPV — JPMorgan ($11 PT, Neutral), Citigroup (Buy upgrade), UBS ($13 PT, Neutral) — benzinga.com, dailypolitical.com</w:t>
      </w:r>
    </w:p>
    <w:p>
      <w:pPr>
        <w:spacing w:before="20" w:after="20"/>
        <w:ind w:left="170"/>
      </w:pPr>
      <w:r>
        <w:rPr>
          <w:rFonts w:ascii="Calibri" w:hAnsi="Calibri"/>
          <w:b/>
          <w:color w:val="4A6B25"/>
          <w:sz w:val="15"/>
        </w:rPr>
        <w:t xml:space="preserve">5. </w:t>
      </w:r>
      <w:r>
        <w:rPr>
          <w:rFonts w:ascii="Calibri" w:hAnsi="Calibri"/>
          <w:b w:val="0"/>
          <w:color w:val="3A4A28"/>
          <w:sz w:val="17"/>
        </w:rPr>
        <w:t>Grupo Supervielle ESG &amp; Governance — BYMA Sustainability Index, Institutional Investor ESG ranking, responsibilityreports.com</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SUPV,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