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SU</w:t>
      </w:r>
      <w:r>
        <w:rPr>
          <w:rFonts w:ascii="Calibri" w:hAnsi="Calibri"/>
          <w:b/>
          <w:color w:val="1A2010"/>
          <w:sz w:val="40"/>
        </w:rPr>
        <w:t xml:space="preserve">  Suncor Energy Inc.</w:t>
      </w:r>
    </w:p>
    <w:p>
      <w:pPr>
        <w:spacing w:after="120"/>
      </w:pPr>
      <w:r>
        <w:rPr>
          <w:rFonts w:ascii="Calibri" w:hAnsi="Calibri"/>
          <w:b/>
          <w:color w:val="6E8450"/>
          <w:sz w:val="18"/>
        </w:rPr>
        <w:t>DIVIDEND SLEEVE · 2026-03-31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 Canada</w:t>
      </w:r>
    </w:p>
    <w:p>
      <w:pPr>
        <w:spacing w:after="80"/>
      </w:pPr>
      <w:r>
        <w:rPr>
          <w:rFonts w:ascii="Calibri" w:hAnsi="Calibri"/>
          <w:b w:val="0"/>
          <w:color w:val="3A4A28"/>
          <w:sz w:val="20"/>
        </w:rPr>
        <w:t>Suncor Energy Inc. is a Canadian integrated energy company operating across oil sands extraction, exploration and production (including offshore East Coast Canada), and refining and marketing of petroleum products. Founded in 1917 and headquartered in Calgary, it is one of Canada's largest energy producers.</w:t>
      </w:r>
    </w:p>
    <w:p>
      <w:r>
        <w:rPr>
          <w:rFonts w:ascii="Calibri" w:hAnsi="Calibri"/>
          <w:b/>
          <w:color w:val="6E8450"/>
          <w:sz w:val="18"/>
        </w:rPr>
        <w:t>15,424 Employees · https://www.suncor.com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Suncor's core business model — oil sands extraction, refining, and downstream marketing — has remained fundamentally unchanged for decades. The $5B Brookfield partnership to power AI data centers with fuel cells is a notable adjacency, but the core business is unchanged [1][2]. AI Deployment (1/2): Suncor is a Canadian leader in autonomous mining trucks with AI-managed dispatch at Mildred Lake mine, and was a 2024 SAP Innovation Award finalist for its AI-powered Intercompany Tax Automation system — delivering measurable operational efficiency gains [3]. Market Share Leadership (1/2): Suncor is one of Canada's largest integrated oil producers with 30 billion barrels of contingent resources, but operates in a commodity market where share is less meaningful than cost position [1]. Product Pipeline (1/2): Clear targets for 100,000 bpd upstream production growth and 10% refining capacity increase to 511,000 bpd by 2028, plus the Brookfield data center power partnership, but these are incremental capacity additions [1]. R&amp;D Intensity (0/1): Oil sands producers are not top-quartile R&amp;D spenders; Suncor's innovation investment focuses on operational efficiency rather than frontier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Suncor's stated commitment to being 'a leader in the transition to a lower-carbon economy while remaining a reliable energy provider' is generic and interchangeable with any integrated oil major — it reads as a compliance statement rather than a genuine purpose [4]. Community &amp; Charitable Impact (0/2): Suncor's community impact record is heavily negative. The Commerce City refinery exceeded pollution limits over 1,000 times between 2019-2023, received a $10.5M fine (Colorado's largest for air pollution), and the surrounding low-income community experiences chronic respiratory and cardiovascular health issues from ongoing emissions [5][6]. Employee Retention (1/2): Glassdoor rating of 3.7/5 with 59% positive business outlook is adequate for the industry, though Comparably rates the executive team in the bottom 15% of similarly sized companies [3]. Insider Buying (0/2): No evidence of meaningful net insider buying by CEO Kruger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Calculated mechanically from available metrics. Suncor's balance sheet is a fortress: D/E of 33% far below the 70% target (score 1.0), Forward P/E of 18.9 is below the 20 target (score 1.0), and 5yr revenue CAGR of ~14% exceeds the 10% target (score 1.0) [7]. ROE of 13.2% approaches the 15% target (score 0.88), profit margin of 12.1% is moderate (score 0.61). Dividend metrics are mixed: payout ratio of 47.6% (score 0.87), 30+ consecutive years paid (score 1.0, 2x weight), but only ~5 years of consecutive growth after the 2020 COVID cut (score 0.5). 5yr dividend growth CAGR is elevated from the post-cut recovery base (~20%, score 1.0, 2x weight). Weighted sum 10.40 / max 12.0 = 8.66, rounded to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Suncor operates with a fundamentally finite mindset — optimizing for near-term shareholder returns through $4B buybacks and cost reduction targets while the core business model of fossil fuel extraction faces existential long-term questions. The net-zero-by-2050 ambition is aspirational but not yet validated by transformative action.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Suncor's stated purpose revolves around 'providing trusted energy that enhances people's lives, while caring for each other and the earth' — a generic energy company statement that fails Sinek's test of a Just Cause that is resilient, inclusive, and idealistic [4]. The net-zero-by-2050 ambition is important but reads as regulatory compliance rather than a cause employees sacrifice to advance. No evidence that the purpose shapes strategic decisions — the $4B buyback program and production growth targets suggest shareholder returns, not a Just Cause, drive strategy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Adequate organizational trust. Glassdoor 3.7/5 with 59% positive business outlook suggests a stable but unremarkable workplace [3]. CEO Rich Kruger brings 40 years of energy industry experience and has driven a 'performance culture focused on safety, reliability, and operational excellence' [3]. However, Comparably rates the executive team in the bottom 15% of large companies, and the CEO transition from Mark Little to Kruger in 2023 created some organizational disruption.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Suncor's competitive language is finite — focused on production growth targets, cost per barrel reductions ($5/bbl WTI breakeven improvement), and positioning as Canada's premier integrated oil company [1]. No evidence of management acknowledging Canadian Natural Resources, Imperial Oil, or Cenovus as worthy rivals whose strengths push Suncor to improve. The competitive framing is about operational dominance, not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$5B Brookfield partnership to power AI data centers represents meaningful strategic flexibility — linking fossil fuel energy production to the digital economy's growing power demands [2]. Suncor's investment in carbon capture and storage (C$16.5B Pathways project) and the net-zero-by-2050 ambition show willingness to evolve. However, these are incremental additions to the core oil sands business, not transformative reinventions — Suncor is still fundamentally an oil producer targeting 100,000 bpd of production growth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Suncor's capital allocation priorities — $4B buybacks (increased 20%), $2B free funds flow improvement targets, and US$38/bbl breakeven reduction — are textbook finite game moves optimizing near-term shareholder returns [1]. The massive CCUS investment is courageous in concept but appears driven more by regulatory pressure than proactive leadership. The Commerce City refinery's 1,000+ pollution violations and treatment of $10.5M fines as a 'business expense' is the antithesis of courageous leadership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Suncor Energy offers a well-capitalized integrated oil major trading at 18.9x forward earnings with a 2.64% dividend yield and a fortress balance sheet (D/E 33%). The 2026 Investor Day laid out an aggressive three-year plan: $4B annual buybacks, 100,000 bpd production growth, 10% refining capacity increase, and a $2B free funds flow improvement targeting US$38/bbl breakeven by 2028 [1]. The 30 billion barrel contingent resource base and $5B Brookfield AI data center power partnership provide long-duration optionality, while autonomous truck deployment and AI-driven operational improvements demonstrate a path to sustained cost reduction [2][3].</w:t>
      </w:r>
    </w:p>
    <w:p>
      <w:pPr>
        <w:spacing w:after="120"/>
      </w:pPr>
      <w:r>
        <w:rPr>
          <w:rFonts w:ascii="Calibri" w:hAnsi="Calibri"/>
          <w:b w:val="0"/>
          <w:color w:val="3A4A28"/>
          <w:sz w:val="20"/>
        </w:rPr>
        <w:t>The bear case is multi-dimensional. The Commerce City refinery faces ongoing environmental litigation — over 1,000 pollution violations, $10.5M in fines, and active federal appeals court proceedings — creating both financial liability and reputational risk [5][6]. Suncor's 2025 revenue declined 3.5% YoY to C$48.9B, reflecting commodity price sensitivity that no operational improvement can fully offset [7]. The Inspiration score of 2/10 reflects genuine concerns: a generic corporate purpose, devastating community health impacts from the Commerce City refinery, and no evidence of insider buying. Long-term, the oil sands face structural demand risk if the energy transition accelerates, and Suncor's net-zero-by-2050 ambition remains aspirational with C$16.5B in CCUS capital costs ahead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of the 2026-2028 improvement plan targeting US$38/bbl breakeven and $2B free funds flow increase could drive significant multiple expansion for a company trading at 18.9x forward earnings [1]</w:t>
      </w:r>
    </w:p>
    <w:p>
      <w:pPr>
        <w:spacing w:before="40" w:after="40"/>
        <w:ind w:left="283"/>
      </w:pPr>
      <w:r>
        <w:rPr>
          <w:rFonts w:ascii="Calibri" w:hAnsi="Calibri"/>
          <w:b/>
          <w:color w:val="4A6B25"/>
          <w:sz w:val="20"/>
        </w:rPr>
        <w:t xml:space="preserve">2. </w:t>
      </w:r>
      <w:r>
        <w:rPr>
          <w:rFonts w:ascii="Calibri" w:hAnsi="Calibri"/>
          <w:b w:val="0"/>
          <w:color w:val="3A4A28"/>
          <w:sz w:val="20"/>
        </w:rPr>
        <w:t>$5B Brookfield partnership to power AI data centers positions Suncor at the intersection of fossil energy and the AI infrastructure build-out, potentially unlocking new demand channels for hydrocarbon-based power [2]</w:t>
      </w:r>
    </w:p>
    <w:p>
      <w:pPr>
        <w:spacing w:before="40" w:after="40"/>
        <w:ind w:left="283"/>
      </w:pPr>
      <w:r>
        <w:rPr>
          <w:rFonts w:ascii="Calibri" w:hAnsi="Calibri"/>
          <w:b/>
          <w:color w:val="4A6B25"/>
          <w:sz w:val="20"/>
        </w:rPr>
        <w:t xml:space="preserve">3. </w:t>
      </w:r>
      <w:r>
        <w:rPr>
          <w:rFonts w:ascii="Calibri" w:hAnsi="Calibri"/>
          <w:b w:val="0"/>
          <w:color w:val="3A4A28"/>
          <w:sz w:val="20"/>
        </w:rPr>
        <w:t>Completion of 100,000 bpd upstream production growth and 10% refining capacity increase to 511,000 bpd by 2028 would improve operating leverage and diversify revenue across the integrated value chain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Commerce City refinery environmental litigation — 1,000+ pollution violations, $10.5M in fines, and active federal court proceedings — creates ongoing financial liability and regulatory risk that could escalate if courts side with environmental groups [5][6]</w:t>
      </w:r>
    </w:p>
    <w:p>
      <w:pPr>
        <w:spacing w:before="40" w:after="40"/>
        <w:ind w:left="283"/>
      </w:pPr>
      <w:r>
        <w:rPr>
          <w:rFonts w:ascii="Calibri" w:hAnsi="Calibri"/>
          <w:b/>
          <w:color w:val="4A6B25"/>
          <w:sz w:val="20"/>
        </w:rPr>
        <w:t xml:space="preserve">2. </w:t>
      </w:r>
      <w:r>
        <w:rPr>
          <w:rFonts w:ascii="Calibri" w:hAnsi="Calibri"/>
          <w:b w:val="0"/>
          <w:color w:val="3A4A28"/>
          <w:sz w:val="20"/>
        </w:rPr>
        <w:t>Commodity price sensitivity: revenue declined 3.5% in 2025 despite production stability, and any sustained WTI decline below the $38/bbl breakeven target would compress cash flows and threaten the $4B buyback program [1][7]</w:t>
      </w:r>
    </w:p>
    <w:p>
      <w:pPr>
        <w:spacing w:before="40" w:after="40"/>
        <w:ind w:left="283"/>
      </w:pPr>
      <w:r>
        <w:rPr>
          <w:rFonts w:ascii="Calibri" w:hAnsi="Calibri"/>
          <w:b/>
          <w:color w:val="4A6B25"/>
          <w:sz w:val="20"/>
        </w:rPr>
        <w:t xml:space="preserve">3. </w:t>
      </w:r>
      <w:r>
        <w:rPr>
          <w:rFonts w:ascii="Calibri" w:hAnsi="Calibri"/>
          <w:b w:val="0"/>
          <w:color w:val="3A4A28"/>
          <w:sz w:val="20"/>
        </w:rPr>
        <w:t>Structural energy transition risk: oil sands extraction is among the most carbon-intensive production methods, and accelerating EV adoption and renewable energy deployment could reduce long-term demand for Suncor's core product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Suncor's core business — physical extraction of bitumen from oil sands, refining crude into petroleum products, and operating retail fuel stations — is structurally immune to AI displacement [4]. These operations require massive physical infrastructure, heavy equipment, regulatory licensing, and geological expertise that AI cannot substitute. Moreover, AI data center growth is increasing demand for energy, directly benefiting Suncor's production volumes [2]. AI Opportunity (1/1): Suncor generates AI-adjacent revenue through its $5B Brookfield partnership to deploy fuel cells powering AI data centers, and actively deploys AI internally via autonomous mining trucks and AI-managed dispatch systems that deliver quantified operational efficiency gains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Suncor Energy 2026 Investor Day presentation — production growth, buyback, and breakeven targets, March 2026</w:t>
      </w:r>
    </w:p>
    <w:p>
      <w:pPr>
        <w:spacing w:before="20" w:after="20"/>
        <w:ind w:left="170"/>
      </w:pPr>
      <w:r>
        <w:rPr>
          <w:rFonts w:ascii="Calibri" w:hAnsi="Calibri"/>
          <w:b/>
          <w:color w:val="4A6B25"/>
          <w:sz w:val="15"/>
        </w:rPr>
        <w:t xml:space="preserve">2. </w:t>
      </w:r>
      <w:r>
        <w:rPr>
          <w:rFonts w:ascii="Calibri" w:hAnsi="Calibri"/>
          <w:b w:val="0"/>
          <w:color w:val="3A4A28"/>
          <w:sz w:val="17"/>
        </w:rPr>
        <w:t>Suncor-Brookfield $5B AI data center power partnership and autonomous truck deployment coverage, EnkiAI and CIO, 2024-2025</w:t>
      </w:r>
    </w:p>
    <w:p>
      <w:pPr>
        <w:spacing w:before="20" w:after="20"/>
        <w:ind w:left="170"/>
      </w:pPr>
      <w:r>
        <w:rPr>
          <w:rFonts w:ascii="Calibri" w:hAnsi="Calibri"/>
          <w:b/>
          <w:color w:val="4A6B25"/>
          <w:sz w:val="15"/>
        </w:rPr>
        <w:t xml:space="preserve">3. </w:t>
      </w:r>
      <w:r>
        <w:rPr>
          <w:rFonts w:ascii="Calibri" w:hAnsi="Calibri"/>
          <w:b w:val="0"/>
          <w:color w:val="3A4A28"/>
          <w:sz w:val="17"/>
        </w:rPr>
        <w:t>Glassdoor (3.7/5, 1,827 reviews), Comparably leadership ratings, and CEO Rich Kruger profile,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Suncor Energy company website — mission, sustainability, and governance pages,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CBS Colorado — Suncor Commerce City refinery $10.5M air pollution fine, 2024</w:t>
      </w:r>
    </w:p>
    <w:p>
      <w:pPr>
        <w:spacing w:before="20" w:after="20"/>
        <w:ind w:left="170"/>
      </w:pPr>
      <w:r>
        <w:rPr>
          <w:rFonts w:ascii="Calibri" w:hAnsi="Calibri"/>
          <w:b/>
          <w:color w:val="4A6B25"/>
          <w:sz w:val="15"/>
        </w:rPr>
        <w:t xml:space="preserve">6. </w:t>
      </w:r>
      <w:r>
        <w:rPr>
          <w:rFonts w:ascii="Calibri" w:hAnsi="Calibri"/>
          <w:b w:val="0"/>
          <w:color w:val="3A4A28"/>
          <w:sz w:val="17"/>
        </w:rPr>
        <w:t>Earthjustice — Suncor Energy sued over repeated Clean Air Act violations, 2024; Colorado Sun — Environmental groups argue for right to sue, March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SU key statistics and financial data,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