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SVC</w:t>
      </w:r>
      <w:r>
        <w:rPr>
          <w:rFonts w:ascii="Calibri" w:hAnsi="Calibri"/>
          <w:b/>
          <w:color w:val="1A2010"/>
          <w:sz w:val="40"/>
        </w:rPr>
        <w:t xml:space="preserve">  Service Properties Trust</w:t>
      </w:r>
    </w:p>
    <w:p>
      <w:pPr>
        <w:spacing w:after="120"/>
      </w:pPr>
      <w:r>
        <w:rPr>
          <w:rFonts w:ascii="Calibri" w:hAnsi="Calibri"/>
          <w:b/>
          <w:color w:val="6E8450"/>
          <w:sz w:val="18"/>
        </w:rPr>
        <w:t>GROWTH SLEEVE · 2026-04-23 · Inspire: 61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39</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Real Estate · REIT - Hotel &amp; Motel · NASDAQ · United States</w:t>
      </w:r>
    </w:p>
    <w:p>
      <w:pPr>
        <w:spacing w:after="80"/>
      </w:pPr>
      <w:r>
        <w:rPr>
          <w:rFonts w:ascii="Calibri" w:hAnsi="Calibri"/>
          <w:b w:val="0"/>
          <w:color w:val="3A4A28"/>
          <w:sz w:val="20"/>
        </w:rPr>
        <w:t>Service Properties Trust is a REIT with approximately $10 billion invested in two asset categories: hotels and service-focused retail net lease properties. As of December 2025, SVC owned 94 hotels with over 21,000 guest rooms and 760 service-focused retail net lease properties with over 13.6 million square feet across the U.S., Puerto Rico, and Canada. Managed externally by The RMR Group. Founded 1995, headquartered in Newton, Massachusetts.</w:t>
      </w:r>
    </w:p>
    <w:p>
      <w:r>
        <w:rPr>
          <w:rFonts w:ascii="Calibri" w:hAnsi="Calibri"/>
          <w:b/>
          <w:color w:val="6E8450"/>
          <w:sz w:val="18"/>
        </w:rPr>
        <w:t>https://www.svcreit.com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(0/3): SVC has executed no meaningful product launches or business model transformations — the company has been disposing of assets at distressed prices, selling 112 hotel properties for $859M to pay down debt, representing forced contraction rather than innovation [1]. Revenue declined 12.9% YoY as the asset base shrank. AI Deployment (0/2): No AI deployment evident in SVC's operations, nor any AI-driven property management, underwriting, or guest experience initiatives disclosed [2]. Market Share (1/2): SVC operates a meaningful portfolio of hotel and net lease assets, but is not a category leader and has been losing scale through dispositions rather than gaining market position [1]. Pipeline (0/2): No growth pipeline visible — the company is in disposal mode, having sold 66 hotels for $534M in Q4 2025 and planning a $1B hotel disposition program to address the debt crisis [1]. R&amp;D Intensity (1/1): Not applicable for a REIT, but SVC receives 1 point for capital allocation activity through its renovation program across retained hotels [1].</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SVC's purpose is generic — 'acquiring, owning, and leasing service-oriented properties.' This is a description of operations, not a mission, and is interchangeable with any hospitality REIT [2]. Community Impact (0/2): No evidence of charitable programs, community investment, or philanthropic initiatives beyond standard REIT operations. The company employs no direct staff (externally managed by RMR Group) [2]. Employee Retention (1/2): As an externally managed REIT, SVC's workforce is provided by RMR Group. CEO Christopher Bilotto leads the trust, and RMR has 40 years of institutional experience, suggesting organizational stability. However, no employee-specific retention data is available for SVC itself [2]. Insider Buying (1/2): CEO Bilotto has made recent open-market share purchases, signaling personal conviction in the turnaround despite the stock's decline from ~$10 to $1.53 [2].</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SVC's financial profile reflects severe distress. D/E of 848% with $5.5B debt against a $990M market cap is dangerously overleveraged [4]. The company issued 479.2M new shares at $1.20 to raise $542M for debt redemption, massively diluting existing shareholders [1]. Revenue of $1.81B (down 12.9% YoY) with negative profit margin of -11.1% and negative ROE of -27% reflect a business in decline. Forward EPS of -$0.26 shows no near-term profitability [4]. The dividend was slashed 95% from $0.20/quarter to $0.01/quarter in late 2024, confirming cash flow inadequacy. Free cash flow of $119M is consumed by interest on $5.5B debt. 2026 guidance of $500–520M Adjusted EBITDAre and $110–130M Normalized FFO represents marginal improvement but does not resolve the structural leverage problem. Liquidity floor cleared: 7.5M avg vol x $1.53 = $11.5M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3</w:t>
      </w:r>
      <w:r>
        <w:rPr>
          <w:rFonts w:ascii="Calibri" w:hAnsi="Calibri"/>
          <w:b w:val="0"/>
          <w:color w:val="9DAF88"/>
          <w:sz w:val="18"/>
        </w:rPr>
        <w:t xml:space="preserve"> /10</w:t>
      </w:r>
    </w:p>
    <w:p>
      <w:pPr>
        <w:spacing w:after="120"/>
      </w:pPr>
      <w:r>
        <w:rPr>
          <w:rFonts w:ascii="Calibri" w:hAnsi="Calibri"/>
          <w:b w:val="0"/>
          <w:color w:val="3A4A28"/>
          <w:sz w:val="18"/>
        </w:rPr>
        <w:t>SVC is playing a finite survival game — the company's strategic decisions over the past two years have been driven by debt maturity pressure rather than a long-term vision. The 95% dividend cut, massive share dilution, and $1B hotel disposition program are all reactive measures to avoid default, not proactive investments in future capability.</w:t>
      </w:r>
    </w:p>
    <w:p>
      <w:pPr>
        <w:spacing w:before="200" w:after="40"/>
      </w:pPr>
      <w:r>
        <w:rPr>
          <w:rFonts w:ascii="Calibri" w:hAnsi="Calibri"/>
          <w:b/>
          <w:color w:val="1A2010"/>
          <w:sz w:val="22"/>
        </w:rPr>
        <w:t>Just Cause</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SVC has no articulated Just Cause. The company exists to own and lease properties — a financial structure, not a purpose [2]. Strategic decisions are driven entirely by debt maturities and creditor pressure. The external management by RMR Group creates an additional agency problem: RMR earns management fees regardless of SVC's stock performance, misaligning incentives with a long-term vision. (0 pts)</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As an externally managed REIT, SVC has no direct employees — its workforce is provided by RMR Group under a management contract [2]. This external management structure inherently limits trust-building within the organization. The RMR management model has faced criticism for conflicts of interest across its multi-REIT portfolio. No evidence of team empowerment or cultural investment was found. (0 pts)</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No evidence of SVC's leadership acknowledging competitors' strengths or framing competition as a learning opportunity [2]. The company's competitive language focuses on asset value and cap rates rather than operational improvement. The external management structure further distances the trust from competitive learning. (0 pts)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SVC has shown some flexibility under duress — the decision to dispose of 112 hotels for $859M, cut the dividend 95%, and issue $542M in equity represents a dramatic strategic shift from a hotel-focused REIT to a more net-lease-focused entity [1]. However, these actions were driven by financial necessity rather than visionary pivot. The shift toward net lease properties (more stable income) over hotels (higher-risk) is pragmatic but not transformative. (1 pt)</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CEO Bilotto's open-market share purchases at depressed prices and the willingness to execute painful but necessary decisions (95% dividend cut, massive dilution, asset sales) show personal conviction and difficult leadership [1]. The courage to cut the dividend and dilute shareholders to preserve the entity's long-term viability is noteworthy, though these actions were arguably forced by creditors rather than chosen. (1 pt)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SVC is a deeply distressed hotel and net lease REIT trading at $1.53 (0.4x book value) with 2026 guidance of $500–520M Adjusted EBITDAre and Normalized FFO of $110–130M ($0.65–$0.77/share) [1]. The turnaround thesis rests on successful debt reduction through asset dispositions ($859M in hotel sales completed) and the equity raise ($542M to redeem $550M in 2027 notes), which collectively reduce near-term default risk. The net lease portfolio ($380–386M NOI guided) provides stable cash flows, and if hotel operations stabilize, the stock trades at a meaningful discount to estimated net asset value. CEO Bilotto's insider buying signals management conviction [2].</w:t>
      </w:r>
    </w:p>
    <w:p>
      <w:pPr>
        <w:spacing w:after="120"/>
      </w:pPr>
      <w:r>
        <w:rPr>
          <w:rFonts w:ascii="Calibri" w:hAnsi="Calibri"/>
          <w:b w:val="0"/>
          <w:color w:val="3A4A28"/>
          <w:sz w:val="20"/>
        </w:rPr>
        <w:t>The bear case is overwhelming for the near term. D/E of 848% with $5.8B in debt maturities over five years creates ongoing refinancing risk at a time when hotel cash flows are declining [1]. The 479M share issuance at $1.20 (April 2026) diluted existing holders by nearly 75%, and further dilution may be necessary to address remaining maturities. Revenue declined 12.9% as hotel dispositions shrink the asset base, and negative profit margin of -11.1% with negative ROE of -27% show the business is destroying value [4]. The dividend was cut 95% from $0.80/year to $0.04/year, eliminating the income thesis that attracted many REIT investors. External management by RMR Group creates agency conflicts — RMR earns base management fees regardless of SVC's stock performance. Short interest has increased significantly, suggesting the market expects further deterioration [1]. The stock price of $1.53 risks Nasdaq delisting if it falls below $1.00 for sustained periods.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Successful completion of hotel disposition program and debt redemption — reducing the $5.8B debt stack below 6x EBITDAre could restore financial flexibility [1]</w:t>
      </w:r>
    </w:p>
    <w:p>
      <w:pPr>
        <w:spacing w:before="40" w:after="40"/>
        <w:ind w:left="283"/>
      </w:pPr>
      <w:r>
        <w:rPr>
          <w:rFonts w:ascii="Calibri" w:hAnsi="Calibri"/>
          <w:b/>
          <w:color w:val="4A6B25"/>
          <w:sz w:val="20"/>
        </w:rPr>
        <w:t xml:space="preserve">2. </w:t>
      </w:r>
      <w:r>
        <w:rPr>
          <w:rFonts w:ascii="Calibri" w:hAnsi="Calibri"/>
          <w:b w:val="0"/>
          <w:color w:val="3A4A28"/>
          <w:sz w:val="20"/>
        </w:rPr>
        <w:t>Hotel EBITDA stabilization at $124–144M guided for 2026 after renovation program completion across retained properties [1]</w:t>
      </w:r>
    </w:p>
    <w:p>
      <w:pPr>
        <w:spacing w:before="40" w:after="40"/>
        <w:ind w:left="283"/>
      </w:pPr>
      <w:r>
        <w:rPr>
          <w:rFonts w:ascii="Calibri" w:hAnsi="Calibri"/>
          <w:b/>
          <w:color w:val="4A6B25"/>
          <w:sz w:val="20"/>
        </w:rPr>
        <w:t xml:space="preserve">3. </w:t>
      </w:r>
      <w:r>
        <w:rPr>
          <w:rFonts w:ascii="Calibri" w:hAnsi="Calibri"/>
          <w:b w:val="0"/>
          <w:color w:val="3A4A28"/>
          <w:sz w:val="20"/>
        </w:rPr>
        <w:t>Net lease portfolio providing $380–386M NOI as a stable income base that could anchor a restructured, smaller REIT focused on retail net lease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Debt maturity wall of $5.8B over five years with limited cash flow to service — further equity dilution or asset sales at distressed prices may be required to avoid default [1]</w:t>
      </w:r>
    </w:p>
    <w:p>
      <w:pPr>
        <w:spacing w:before="40" w:after="40"/>
        <w:ind w:left="283"/>
      </w:pPr>
      <w:r>
        <w:rPr>
          <w:rFonts w:ascii="Calibri" w:hAnsi="Calibri"/>
          <w:b/>
          <w:color w:val="4A6B25"/>
          <w:sz w:val="20"/>
        </w:rPr>
        <w:t xml:space="preserve">2. </w:t>
      </w:r>
      <w:r>
        <w:rPr>
          <w:rFonts w:ascii="Calibri" w:hAnsi="Calibri"/>
          <w:b w:val="0"/>
          <w:color w:val="3A4A28"/>
          <w:sz w:val="20"/>
        </w:rPr>
        <w:t>Continued revenue decline as hotel dispositions shrink the asset base — the company sold 112 properties in 2025, reducing its hotel portfolio by over 40% [1]</w:t>
      </w:r>
    </w:p>
    <w:p>
      <w:pPr>
        <w:spacing w:before="40" w:after="40"/>
        <w:ind w:left="283"/>
      </w:pPr>
      <w:r>
        <w:rPr>
          <w:rFonts w:ascii="Calibri" w:hAnsi="Calibri"/>
          <w:b/>
          <w:color w:val="4A6B25"/>
          <w:sz w:val="20"/>
        </w:rPr>
        <w:t xml:space="preserve">3. </w:t>
      </w:r>
      <w:r>
        <w:rPr>
          <w:rFonts w:ascii="Calibri" w:hAnsi="Calibri"/>
          <w:b w:val="0"/>
          <w:color w:val="3A4A28"/>
          <w:sz w:val="20"/>
        </w:rPr>
        <w:t>External management by RMR Group creates agency conflicts — base management fees are earned regardless of stock performance, reducing management incentive to prioritize equity holders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SVC's core business — owning and leasing physical hotel and retail properties — is structurally immune to AI disruption. Hotels require physical buildings, housekeeping, and in-person service that AI cannot replace [2]. Net lease retail properties generate contractual rental income regardless of technology disruption. AI may modestly improve property management efficiency (dynamic pricing, maintenance prediction) but cannot substitute for the physical assets. The hotel industry may face indirect pressure from AI-driven alternative lodging platforms, but SVC's branded hotel portfolio (Sonesta, Hyatt, Radisson) competes on physical presence. AI Opportunity (0/1): SVC has no AI-related revenue streams or AI product offerings. The company is a passive real estate owner with no technology development capability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61</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Service Properties Trust Q4 2025 Earnings, 2026 Guidance — $500–520M Adj EBITDAre, $110–130M Normalized FFO, hotel disposition program, February 2026</w:t>
      </w:r>
    </w:p>
    <w:p>
      <w:pPr>
        <w:spacing w:before="20" w:after="20"/>
        <w:ind w:left="170"/>
      </w:pPr>
      <w:r>
        <w:rPr>
          <w:rFonts w:ascii="Calibri" w:hAnsi="Calibri"/>
          <w:b/>
          <w:color w:val="4A6B25"/>
          <w:sz w:val="15"/>
        </w:rPr>
        <w:t xml:space="preserve">2. </w:t>
      </w:r>
      <w:r>
        <w:rPr>
          <w:rFonts w:ascii="Calibri" w:hAnsi="Calibri"/>
          <w:b w:val="0"/>
          <w:color w:val="3A4A28"/>
          <w:sz w:val="17"/>
        </w:rPr>
        <w:t>SVC corporate website, CEO Bilotto insider purchases, RMR Group external management structure, accessed April 2026</w:t>
      </w:r>
    </w:p>
    <w:p>
      <w:pPr>
        <w:spacing w:before="20" w:after="20"/>
        <w:ind w:left="170"/>
      </w:pPr>
      <w:r>
        <w:rPr>
          <w:rFonts w:ascii="Calibri" w:hAnsi="Calibri"/>
          <w:b/>
          <w:color w:val="4A6B25"/>
          <w:sz w:val="15"/>
        </w:rPr>
        <w:t xml:space="preserve">3. </w:t>
      </w:r>
      <w:r>
        <w:rPr>
          <w:rFonts w:ascii="Calibri" w:hAnsi="Calibri"/>
          <w:b w:val="0"/>
          <w:color w:val="3A4A28"/>
          <w:sz w:val="17"/>
        </w:rPr>
        <w:t>Seeking Alpha — 'Debt Crisis Overshadows Strategic Pivot,' SVC equity offering analysis, April 2026</w:t>
      </w:r>
    </w:p>
    <w:p>
      <w:pPr>
        <w:spacing w:before="20" w:after="20"/>
        <w:ind w:left="170"/>
      </w:pPr>
      <w:r>
        <w:rPr>
          <w:rFonts w:ascii="Calibri" w:hAnsi="Calibri"/>
          <w:b/>
          <w:color w:val="4A6B25"/>
          <w:sz w:val="15"/>
        </w:rPr>
        <w:t xml:space="preserve">4. </w:t>
      </w:r>
      <w:r>
        <w:rPr>
          <w:rFonts w:ascii="Calibri" w:hAnsi="Calibri"/>
          <w:b w:val="0"/>
          <w:color w:val="3A4A28"/>
          <w:sz w:val="17"/>
        </w:rPr>
        <w:t>Yahoo Finance / yfinance data for SVC, retrieved April 23,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